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2BE9" w14:textId="77777777" w:rsidR="00DF7739" w:rsidRPr="00DF7739" w:rsidRDefault="00DF7739" w:rsidP="00DF7739">
      <w:pPr>
        <w:jc w:val="center"/>
        <w:rPr>
          <w:rFonts w:ascii="Times New Roman" w:hAnsi="Times New Roman" w:cs="Times New Roman"/>
          <w:b/>
          <w:bCs/>
          <w:sz w:val="24"/>
          <w:szCs w:val="24"/>
          <w:lang w:val="en-GB"/>
        </w:rPr>
      </w:pPr>
      <w:r w:rsidRPr="00DF7739">
        <w:rPr>
          <w:rFonts w:ascii="Times New Roman" w:hAnsi="Times New Roman" w:cs="Times New Roman"/>
          <w:b/>
          <w:bCs/>
          <w:sz w:val="24"/>
          <w:szCs w:val="24"/>
          <w:lang w:val="en-GB"/>
        </w:rPr>
        <w:t>HARNESSING DRUG METABOLITES IN PRECISION MEDICINE</w:t>
      </w:r>
    </w:p>
    <w:p w14:paraId="37301FA7" w14:textId="6DAD6D74" w:rsidR="00DF7739" w:rsidRPr="00DF7739" w:rsidRDefault="00DF7739" w:rsidP="00DF7739">
      <w:pPr>
        <w:jc w:val="center"/>
        <w:rPr>
          <w:rFonts w:ascii="Times New Roman" w:hAnsi="Times New Roman" w:cs="Times New Roman"/>
          <w:sz w:val="20"/>
          <w:szCs w:val="20"/>
        </w:rPr>
      </w:pPr>
      <w:r w:rsidRPr="00DF7739">
        <w:rPr>
          <w:rFonts w:ascii="Times New Roman" w:hAnsi="Times New Roman" w:cs="Times New Roman"/>
          <w:sz w:val="20"/>
          <w:szCs w:val="20"/>
          <w:u w:val="single"/>
        </w:rPr>
        <w:t>L. Manén</w:t>
      </w:r>
      <w:r w:rsidRPr="00DF7739">
        <w:rPr>
          <w:rFonts w:ascii="Times New Roman" w:hAnsi="Times New Roman" w:cs="Times New Roman"/>
          <w:sz w:val="20"/>
          <w:szCs w:val="20"/>
          <w:vertAlign w:val="superscript"/>
        </w:rPr>
        <w:t>1,2</w:t>
      </w:r>
      <w:r w:rsidRPr="00DF7739">
        <w:rPr>
          <w:rFonts w:ascii="Times New Roman" w:hAnsi="Times New Roman" w:cs="Times New Roman"/>
          <w:sz w:val="20"/>
          <w:szCs w:val="20"/>
        </w:rPr>
        <w:t>, S. Santos</w:t>
      </w:r>
      <w:r w:rsidRPr="00DF7739">
        <w:rPr>
          <w:rFonts w:ascii="Times New Roman" w:hAnsi="Times New Roman" w:cs="Times New Roman"/>
          <w:sz w:val="20"/>
          <w:szCs w:val="20"/>
          <w:vertAlign w:val="superscript"/>
        </w:rPr>
        <w:t>1,2</w:t>
      </w:r>
      <w:r w:rsidRPr="00DF7739">
        <w:rPr>
          <w:rFonts w:ascii="Times New Roman" w:hAnsi="Times New Roman" w:cs="Times New Roman"/>
          <w:sz w:val="20"/>
          <w:szCs w:val="20"/>
        </w:rPr>
        <w:t>, W. Zhang</w:t>
      </w:r>
      <w:r w:rsidRPr="00DF7739">
        <w:rPr>
          <w:rFonts w:ascii="Times New Roman" w:hAnsi="Times New Roman" w:cs="Times New Roman"/>
          <w:sz w:val="20"/>
          <w:szCs w:val="20"/>
          <w:vertAlign w:val="superscript"/>
        </w:rPr>
        <w:t>1,2</w:t>
      </w:r>
      <w:r w:rsidRPr="00DF7739">
        <w:rPr>
          <w:rFonts w:ascii="Times New Roman" w:hAnsi="Times New Roman" w:cs="Times New Roman"/>
          <w:sz w:val="20"/>
          <w:szCs w:val="20"/>
        </w:rPr>
        <w:t>, L. Josa</w:t>
      </w:r>
      <w:r w:rsidRPr="00DF7739">
        <w:rPr>
          <w:rFonts w:ascii="Times New Roman" w:hAnsi="Times New Roman" w:cs="Times New Roman"/>
          <w:sz w:val="20"/>
          <w:szCs w:val="20"/>
          <w:vertAlign w:val="superscript"/>
        </w:rPr>
        <w:t>3</w:t>
      </w:r>
      <w:r w:rsidRPr="00DF7739">
        <w:rPr>
          <w:rFonts w:ascii="Times New Roman" w:hAnsi="Times New Roman" w:cs="Times New Roman"/>
          <w:sz w:val="20"/>
          <w:szCs w:val="20"/>
        </w:rPr>
        <w:t>, C. Serra</w:t>
      </w:r>
      <w:r w:rsidRPr="00DF7739">
        <w:rPr>
          <w:rFonts w:ascii="Times New Roman" w:hAnsi="Times New Roman" w:cs="Times New Roman"/>
          <w:sz w:val="20"/>
          <w:szCs w:val="20"/>
          <w:vertAlign w:val="superscript"/>
        </w:rPr>
        <w:t>3</w:t>
      </w:r>
      <w:r w:rsidRPr="00DF7739">
        <w:rPr>
          <w:rFonts w:ascii="Times New Roman" w:hAnsi="Times New Roman" w:cs="Times New Roman"/>
          <w:sz w:val="20"/>
          <w:szCs w:val="20"/>
        </w:rPr>
        <w:t>, H. Hu</w:t>
      </w:r>
      <w:r w:rsidRPr="00DF7739">
        <w:rPr>
          <w:rFonts w:ascii="Times New Roman" w:hAnsi="Times New Roman" w:cs="Times New Roman"/>
          <w:sz w:val="20"/>
          <w:szCs w:val="20"/>
          <w:vertAlign w:val="superscript"/>
        </w:rPr>
        <w:t>4</w:t>
      </w:r>
      <w:r w:rsidRPr="00DF7739">
        <w:rPr>
          <w:rFonts w:ascii="Times New Roman" w:hAnsi="Times New Roman" w:cs="Times New Roman"/>
          <w:sz w:val="20"/>
          <w:szCs w:val="20"/>
        </w:rPr>
        <w:t>, A. Scrivo</w:t>
      </w:r>
      <w:r w:rsidRPr="00DF7739">
        <w:rPr>
          <w:rFonts w:ascii="Times New Roman" w:hAnsi="Times New Roman" w:cs="Times New Roman"/>
          <w:sz w:val="20"/>
          <w:szCs w:val="20"/>
          <w:vertAlign w:val="superscript"/>
        </w:rPr>
        <w:t>2,5</w:t>
      </w:r>
      <w:r w:rsidRPr="00DF7739">
        <w:rPr>
          <w:rFonts w:ascii="Times New Roman" w:hAnsi="Times New Roman" w:cs="Times New Roman"/>
          <w:sz w:val="20"/>
          <w:szCs w:val="20"/>
        </w:rPr>
        <w:t>, I. Fernández-Carasa</w:t>
      </w:r>
      <w:r w:rsidRPr="00DF7739">
        <w:rPr>
          <w:rFonts w:ascii="Times New Roman" w:hAnsi="Times New Roman" w:cs="Times New Roman"/>
          <w:sz w:val="20"/>
          <w:szCs w:val="20"/>
          <w:vertAlign w:val="superscript"/>
        </w:rPr>
        <w:t>2,5</w:t>
      </w:r>
      <w:r w:rsidRPr="00DF7739">
        <w:rPr>
          <w:rFonts w:ascii="Times New Roman" w:hAnsi="Times New Roman" w:cs="Times New Roman"/>
          <w:sz w:val="20"/>
          <w:szCs w:val="20"/>
        </w:rPr>
        <w:t>, A. Consiglio</w:t>
      </w:r>
      <w:r w:rsidRPr="00DF7739">
        <w:rPr>
          <w:rFonts w:ascii="Times New Roman" w:hAnsi="Times New Roman" w:cs="Times New Roman"/>
          <w:sz w:val="20"/>
          <w:szCs w:val="20"/>
          <w:vertAlign w:val="superscript"/>
        </w:rPr>
        <w:t>2,5,6</w:t>
      </w:r>
      <w:r w:rsidRPr="00DF7739">
        <w:rPr>
          <w:rFonts w:ascii="Times New Roman" w:hAnsi="Times New Roman" w:cs="Times New Roman"/>
          <w:sz w:val="20"/>
          <w:szCs w:val="20"/>
        </w:rPr>
        <w:t>, A. Aytés</w:t>
      </w:r>
      <w:r w:rsidRPr="00DF7739">
        <w:rPr>
          <w:rFonts w:ascii="Times New Roman" w:hAnsi="Times New Roman" w:cs="Times New Roman"/>
          <w:sz w:val="20"/>
          <w:szCs w:val="20"/>
          <w:vertAlign w:val="superscript"/>
        </w:rPr>
        <w:t>1,2</w:t>
      </w:r>
      <w:r w:rsidRPr="00DF7739">
        <w:rPr>
          <w:rFonts w:ascii="Times New Roman" w:hAnsi="Times New Roman" w:cs="Times New Roman"/>
          <w:sz w:val="20"/>
          <w:szCs w:val="20"/>
        </w:rPr>
        <w:t>, M.A. Pujana</w:t>
      </w:r>
      <w:r w:rsidRPr="00DF7739">
        <w:rPr>
          <w:rFonts w:ascii="Times New Roman" w:hAnsi="Times New Roman" w:cs="Times New Roman"/>
          <w:sz w:val="20"/>
          <w:szCs w:val="20"/>
          <w:vertAlign w:val="superscript"/>
        </w:rPr>
        <w:t>1,2</w:t>
      </w:r>
      <w:r w:rsidRPr="00DF7739">
        <w:rPr>
          <w:rFonts w:ascii="Times New Roman" w:hAnsi="Times New Roman" w:cs="Times New Roman"/>
          <w:sz w:val="20"/>
          <w:szCs w:val="20"/>
        </w:rPr>
        <w:t>,</w:t>
      </w:r>
      <w:r w:rsidRPr="00DF7739">
        <w:rPr>
          <w:rFonts w:ascii="Times New Roman" w:hAnsi="Times New Roman" w:cs="Times New Roman"/>
          <w:sz w:val="20"/>
          <w:szCs w:val="20"/>
          <w:vertAlign w:val="superscript"/>
        </w:rPr>
        <w:t xml:space="preserve"> </w:t>
      </w:r>
      <w:r w:rsidRPr="00DF7739">
        <w:rPr>
          <w:rFonts w:ascii="Times New Roman" w:hAnsi="Times New Roman" w:cs="Times New Roman"/>
          <w:sz w:val="20"/>
          <w:szCs w:val="20"/>
        </w:rPr>
        <w:t xml:space="preserve"> A. Llebaria</w:t>
      </w:r>
      <w:r w:rsidRPr="00DF7739">
        <w:rPr>
          <w:rFonts w:ascii="Times New Roman" w:hAnsi="Times New Roman" w:cs="Times New Roman"/>
          <w:sz w:val="20"/>
          <w:szCs w:val="20"/>
          <w:vertAlign w:val="superscript"/>
        </w:rPr>
        <w:t xml:space="preserve">3 </w:t>
      </w:r>
      <w:r w:rsidRPr="00DF7739">
        <w:rPr>
          <w:rFonts w:ascii="Times New Roman" w:hAnsi="Times New Roman" w:cs="Times New Roman"/>
          <w:sz w:val="20"/>
          <w:szCs w:val="20"/>
        </w:rPr>
        <w:t>, AA. Antolín</w:t>
      </w:r>
      <w:r w:rsidRPr="00DF7739">
        <w:rPr>
          <w:rFonts w:ascii="Times New Roman" w:hAnsi="Times New Roman" w:cs="Times New Roman"/>
          <w:sz w:val="20"/>
          <w:szCs w:val="20"/>
          <w:vertAlign w:val="superscript"/>
        </w:rPr>
        <w:t>1,2,4</w:t>
      </w:r>
    </w:p>
    <w:p w14:paraId="7EB1D03D" w14:textId="60E56305" w:rsidR="00DF7739" w:rsidRPr="00DF7739" w:rsidRDefault="00DF7739" w:rsidP="00DF7739">
      <w:pPr>
        <w:spacing w:after="0" w:line="240" w:lineRule="auto"/>
        <w:ind w:left="720"/>
        <w:rPr>
          <w:rFonts w:ascii="Times New Roman" w:hAnsi="Times New Roman" w:cs="Times New Roman"/>
          <w:sz w:val="18"/>
          <w:szCs w:val="18"/>
        </w:rPr>
      </w:pPr>
      <w:r w:rsidRPr="00DF7739">
        <w:rPr>
          <w:rFonts w:ascii="Times New Roman" w:hAnsi="Times New Roman" w:cs="Times New Roman"/>
          <w:i/>
          <w:iCs/>
          <w:sz w:val="18"/>
          <w:szCs w:val="18"/>
          <w:vertAlign w:val="superscript"/>
        </w:rPr>
        <w:t xml:space="preserve">1 </w:t>
      </w:r>
      <w:r w:rsidRPr="00DF7739">
        <w:rPr>
          <w:rFonts w:ascii="Times New Roman" w:hAnsi="Times New Roman" w:cs="Times New Roman"/>
          <w:i/>
          <w:iCs/>
          <w:sz w:val="18"/>
          <w:szCs w:val="18"/>
        </w:rPr>
        <w:t>proCURE, Catalan Institute of Oncology (ICO) L'Hospitalet del Llobregat, Barcelona, Spain</w:t>
      </w:r>
    </w:p>
    <w:p w14:paraId="068EB890" w14:textId="5B14917A" w:rsidR="00DF7739" w:rsidRPr="00DF7739" w:rsidRDefault="00DF7739" w:rsidP="00DF7739">
      <w:pPr>
        <w:spacing w:after="0" w:line="240" w:lineRule="auto"/>
        <w:ind w:left="720"/>
        <w:rPr>
          <w:rFonts w:ascii="Times New Roman" w:hAnsi="Times New Roman" w:cs="Times New Roman"/>
          <w:sz w:val="18"/>
          <w:szCs w:val="18"/>
        </w:rPr>
      </w:pPr>
      <w:r w:rsidRPr="00DF7739">
        <w:rPr>
          <w:rFonts w:ascii="Times New Roman" w:hAnsi="Times New Roman" w:cs="Times New Roman"/>
          <w:i/>
          <w:iCs/>
          <w:sz w:val="18"/>
          <w:szCs w:val="18"/>
          <w:vertAlign w:val="superscript"/>
        </w:rPr>
        <w:t xml:space="preserve"> 2</w:t>
      </w:r>
      <w:r w:rsidRPr="00DF7739">
        <w:rPr>
          <w:rFonts w:ascii="Times New Roman" w:hAnsi="Times New Roman" w:cs="Times New Roman"/>
          <w:i/>
          <w:iCs/>
          <w:sz w:val="18"/>
          <w:szCs w:val="18"/>
        </w:rPr>
        <w:t>Bellvitge Biomedical Research Institute (IDIBELL), L'Hospitalet del Llobregat, Barcelona, Spain</w:t>
      </w:r>
    </w:p>
    <w:p w14:paraId="2C4B1E4B" w14:textId="3DBEEF0C" w:rsidR="00DF7739" w:rsidRPr="00DF7739" w:rsidRDefault="00DF7739" w:rsidP="00DF7739">
      <w:pPr>
        <w:spacing w:after="0" w:line="240" w:lineRule="auto"/>
        <w:jc w:val="center"/>
        <w:rPr>
          <w:rFonts w:ascii="Times New Roman" w:hAnsi="Times New Roman" w:cs="Times New Roman"/>
          <w:sz w:val="18"/>
          <w:szCs w:val="18"/>
          <w:lang w:val="en-GB"/>
        </w:rPr>
      </w:pPr>
      <w:r w:rsidRPr="00DF7739">
        <w:rPr>
          <w:rFonts w:ascii="Times New Roman" w:hAnsi="Times New Roman" w:cs="Times New Roman"/>
          <w:i/>
          <w:iCs/>
          <w:sz w:val="18"/>
          <w:szCs w:val="18"/>
          <w:vertAlign w:val="superscript"/>
          <w:lang w:val="en-GB"/>
        </w:rPr>
        <w:t xml:space="preserve">3 </w:t>
      </w:r>
      <w:r w:rsidRPr="00DF7739">
        <w:rPr>
          <w:rFonts w:ascii="Times New Roman" w:hAnsi="Times New Roman" w:cs="Times New Roman"/>
          <w:i/>
          <w:iCs/>
          <w:sz w:val="18"/>
          <w:szCs w:val="18"/>
          <w:lang w:val="en-GB"/>
        </w:rPr>
        <w:t>Institute for Advanced Chemistry of Catalonia (IQAC-CSIC), Barcelona, Spain</w:t>
      </w:r>
    </w:p>
    <w:p w14:paraId="58D5DCA4" w14:textId="60390073" w:rsidR="00DF7739" w:rsidRPr="00DF7739" w:rsidRDefault="00DF7739" w:rsidP="00DF7739">
      <w:pPr>
        <w:spacing w:after="0" w:line="240" w:lineRule="auto"/>
        <w:jc w:val="center"/>
        <w:rPr>
          <w:rFonts w:ascii="Times New Roman" w:hAnsi="Times New Roman" w:cs="Times New Roman"/>
          <w:sz w:val="18"/>
          <w:szCs w:val="18"/>
          <w:lang w:val="en-GB"/>
        </w:rPr>
      </w:pPr>
      <w:r w:rsidRPr="00DF7739">
        <w:rPr>
          <w:rFonts w:ascii="Times New Roman" w:hAnsi="Times New Roman" w:cs="Times New Roman"/>
          <w:i/>
          <w:iCs/>
          <w:sz w:val="18"/>
          <w:szCs w:val="18"/>
          <w:vertAlign w:val="superscript"/>
          <w:lang w:val="en-GB"/>
        </w:rPr>
        <w:t xml:space="preserve">4 </w:t>
      </w:r>
      <w:r w:rsidRPr="00DF7739">
        <w:rPr>
          <w:rFonts w:ascii="Times New Roman" w:hAnsi="Times New Roman" w:cs="Times New Roman"/>
          <w:i/>
          <w:iCs/>
          <w:sz w:val="18"/>
          <w:szCs w:val="18"/>
          <w:lang w:val="en-GB"/>
        </w:rPr>
        <w:t>The Institute of Cancer Research, London, UK</w:t>
      </w:r>
    </w:p>
    <w:p w14:paraId="1F7E5EAA" w14:textId="53BD9A36" w:rsidR="00DF7739" w:rsidRPr="00617C04" w:rsidRDefault="00DF7739" w:rsidP="00DF7739">
      <w:pPr>
        <w:spacing w:after="0" w:line="240" w:lineRule="auto"/>
        <w:jc w:val="center"/>
        <w:rPr>
          <w:rFonts w:ascii="Times New Roman" w:hAnsi="Times New Roman" w:cs="Times New Roman"/>
          <w:sz w:val="18"/>
          <w:szCs w:val="18"/>
          <w:lang w:val="en-GB"/>
        </w:rPr>
      </w:pPr>
      <w:r w:rsidRPr="00617C04">
        <w:rPr>
          <w:rFonts w:ascii="Times New Roman" w:hAnsi="Times New Roman" w:cs="Times New Roman"/>
          <w:i/>
          <w:iCs/>
          <w:sz w:val="18"/>
          <w:szCs w:val="18"/>
          <w:vertAlign w:val="superscript"/>
          <w:lang w:val="en-GB"/>
        </w:rPr>
        <w:t>5</w:t>
      </w:r>
      <w:r w:rsidRPr="00617C04">
        <w:rPr>
          <w:rFonts w:ascii="Times New Roman" w:hAnsi="Times New Roman" w:cs="Times New Roman"/>
          <w:i/>
          <w:iCs/>
          <w:sz w:val="18"/>
          <w:szCs w:val="18"/>
          <w:lang w:val="en-GB"/>
        </w:rPr>
        <w:t>University of Barcelona, Barcelona, Spain</w:t>
      </w:r>
    </w:p>
    <w:p w14:paraId="4E02667D" w14:textId="13A80483" w:rsidR="00DF7739" w:rsidRPr="00617C04" w:rsidRDefault="00DF7739" w:rsidP="00DF7739">
      <w:pPr>
        <w:spacing w:after="0" w:line="240" w:lineRule="auto"/>
        <w:jc w:val="center"/>
        <w:rPr>
          <w:rFonts w:ascii="Times New Roman" w:hAnsi="Times New Roman" w:cs="Times New Roman"/>
          <w:sz w:val="18"/>
          <w:szCs w:val="18"/>
          <w:lang w:val="en-GB"/>
        </w:rPr>
      </w:pPr>
      <w:r w:rsidRPr="00617C04">
        <w:rPr>
          <w:rFonts w:ascii="Times New Roman" w:hAnsi="Times New Roman" w:cs="Times New Roman"/>
          <w:i/>
          <w:iCs/>
          <w:sz w:val="18"/>
          <w:szCs w:val="18"/>
          <w:vertAlign w:val="superscript"/>
          <w:lang w:val="en-GB"/>
        </w:rPr>
        <w:t xml:space="preserve">6 </w:t>
      </w:r>
      <w:r w:rsidRPr="00617C04">
        <w:rPr>
          <w:rFonts w:ascii="Times New Roman" w:hAnsi="Times New Roman" w:cs="Times New Roman"/>
          <w:i/>
          <w:iCs/>
          <w:sz w:val="18"/>
          <w:szCs w:val="18"/>
          <w:lang w:val="en-GB"/>
        </w:rPr>
        <w:t>University of Brescia, Brescia, Italy</w:t>
      </w:r>
    </w:p>
    <w:p w14:paraId="0E32D25B" w14:textId="77777777" w:rsidR="00DF7739" w:rsidRPr="00617C04" w:rsidRDefault="00DF7739" w:rsidP="00DF7739">
      <w:pPr>
        <w:jc w:val="center"/>
        <w:rPr>
          <w:lang w:val="en-GB"/>
        </w:rPr>
      </w:pPr>
    </w:p>
    <w:p w14:paraId="205834B2" w14:textId="77D23E18" w:rsidR="003D1143" w:rsidRDefault="00DF7739">
      <w:pPr>
        <w:rPr>
          <w:rFonts w:ascii="Times New Roman" w:hAnsi="Times New Roman" w:cs="Times New Roman"/>
          <w:b/>
          <w:bCs/>
          <w:lang w:val="en-GB"/>
        </w:rPr>
      </w:pPr>
      <w:r w:rsidRPr="00DF7739">
        <w:rPr>
          <w:rFonts w:ascii="Times New Roman" w:hAnsi="Times New Roman" w:cs="Times New Roman"/>
          <w:b/>
          <w:bCs/>
          <w:lang w:val="en-GB"/>
        </w:rPr>
        <w:t>Abstract</w:t>
      </w:r>
    </w:p>
    <w:p w14:paraId="64550C95" w14:textId="5DCD0CEC" w:rsidR="00DF7739" w:rsidRDefault="00DF7739" w:rsidP="00DF7739">
      <w:pPr>
        <w:jc w:val="both"/>
        <w:rPr>
          <w:rFonts w:ascii="Times New Roman" w:hAnsi="Times New Roman" w:cs="Times New Roman"/>
          <w:lang w:val="en-GB"/>
        </w:rPr>
      </w:pPr>
      <w:r w:rsidRPr="00DF7739">
        <w:rPr>
          <w:rFonts w:ascii="Times New Roman" w:hAnsi="Times New Roman" w:cs="Times New Roman"/>
          <w:lang w:val="en-GB"/>
        </w:rPr>
        <w:t xml:space="preserve">The comprehensive characterization of drug metabolites' </w:t>
      </w:r>
      <w:r>
        <w:rPr>
          <w:rFonts w:ascii="Times New Roman" w:hAnsi="Times New Roman" w:cs="Times New Roman"/>
          <w:lang w:val="en-GB"/>
        </w:rPr>
        <w:t>polypharmacology</w:t>
      </w:r>
      <w:r w:rsidRPr="00DF7739">
        <w:rPr>
          <w:rFonts w:ascii="Times New Roman" w:hAnsi="Times New Roman" w:cs="Times New Roman"/>
          <w:lang w:val="en-GB"/>
        </w:rPr>
        <w:t xml:space="preserve"> is a seldom-explored aspect in drug discovery and development. Nevertheless, certain drug metabolites can achieve high concentrations in the bloodstream and exhibit noteworthy </w:t>
      </w:r>
      <w:r w:rsidRPr="00DF7739">
        <w:rPr>
          <w:rFonts w:ascii="Times New Roman" w:hAnsi="Times New Roman" w:cs="Times New Roman"/>
          <w:i/>
          <w:iCs/>
          <w:lang w:val="en-GB"/>
        </w:rPr>
        <w:t>in vivo</w:t>
      </w:r>
      <w:r w:rsidRPr="00DF7739">
        <w:rPr>
          <w:rFonts w:ascii="Times New Roman" w:hAnsi="Times New Roman" w:cs="Times New Roman"/>
          <w:lang w:val="en-GB"/>
        </w:rPr>
        <w:t xml:space="preserve"> </w:t>
      </w:r>
      <w:r>
        <w:rPr>
          <w:rFonts w:ascii="Times New Roman" w:hAnsi="Times New Roman" w:cs="Times New Roman"/>
          <w:lang w:val="en-GB"/>
        </w:rPr>
        <w:t>activities</w:t>
      </w:r>
      <w:r w:rsidRPr="00DF7739">
        <w:rPr>
          <w:rFonts w:ascii="Times New Roman" w:hAnsi="Times New Roman" w:cs="Times New Roman"/>
          <w:lang w:val="en-GB"/>
        </w:rPr>
        <w:t xml:space="preserve"> distinct from their parent drugs. In this study, we employ a combination of computational and experimental methods to thoroughly assess the multi-target pharmacological effects of M324, which is the primary metabolite of the FDA-approved PARP inhibitor, </w:t>
      </w:r>
      <w:r>
        <w:rPr>
          <w:rFonts w:ascii="Times New Roman" w:hAnsi="Times New Roman" w:cs="Times New Roman"/>
          <w:lang w:val="en-GB"/>
        </w:rPr>
        <w:t>R</w:t>
      </w:r>
      <w:r w:rsidRPr="00DF7739">
        <w:rPr>
          <w:rFonts w:ascii="Times New Roman" w:hAnsi="Times New Roman" w:cs="Times New Roman"/>
          <w:lang w:val="en-GB"/>
        </w:rPr>
        <w:t>ucaparib</w:t>
      </w:r>
      <w:r>
        <w:rPr>
          <w:rFonts w:ascii="Times New Roman" w:hAnsi="Times New Roman" w:cs="Times New Roman"/>
          <w:vertAlign w:val="superscript"/>
          <w:lang w:val="en-GB"/>
        </w:rPr>
        <w:t>1</w:t>
      </w:r>
      <w:r w:rsidRPr="00DF7739">
        <w:rPr>
          <w:rFonts w:ascii="Times New Roman" w:hAnsi="Times New Roman" w:cs="Times New Roman"/>
          <w:lang w:val="en-GB"/>
        </w:rPr>
        <w:t xml:space="preserve">. Our experiments convincingly establish that M324 has a different kinome profile when compared to its parent drug, showcasing potent inhibition of GSK3A and PLK2 at concentrations typically observed in clinical settings. These confirmed kinase activities of M324 may have significant implications for the effectiveness and safety of </w:t>
      </w:r>
      <w:r>
        <w:rPr>
          <w:rFonts w:ascii="Times New Roman" w:hAnsi="Times New Roman" w:cs="Times New Roman"/>
          <w:lang w:val="en-GB"/>
        </w:rPr>
        <w:t>R</w:t>
      </w:r>
      <w:r w:rsidRPr="00DF7739">
        <w:rPr>
          <w:rFonts w:ascii="Times New Roman" w:hAnsi="Times New Roman" w:cs="Times New Roman"/>
          <w:lang w:val="en-GB"/>
        </w:rPr>
        <w:t xml:space="preserve">ucaparib, thus requiring further clinical exploration. Significantly, we also identify a synergistic effect between the drug and its metabolite in prostate cancer cell lines, and a complete reduction of alpha-synuclein accumulation in patient-specific dopamine neurons from individuals with Parkinson's disease treated with the metabolite. These biological actions hold promise for potential clinical applications and may open up new avenues for drug discovery in areas where there are substantial unmet medical needs. </w:t>
      </w:r>
    </w:p>
    <w:p w14:paraId="038CE2EC" w14:textId="6BDEFB21" w:rsidR="00DF7739" w:rsidRDefault="00DF7739" w:rsidP="00DF7739">
      <w:pPr>
        <w:jc w:val="both"/>
        <w:rPr>
          <w:rFonts w:ascii="Times New Roman" w:hAnsi="Times New Roman" w:cs="Times New Roman"/>
          <w:lang w:val="en-GB"/>
        </w:rPr>
      </w:pPr>
      <w:r w:rsidRPr="00DF7739">
        <w:rPr>
          <w:rFonts w:ascii="Times New Roman" w:hAnsi="Times New Roman" w:cs="Times New Roman"/>
          <w:lang w:val="en-GB"/>
        </w:rPr>
        <w:t>This study underscores the vital importance of thoroughly investigating the actions of major drug metabolites to gain a comprehensive understanding of drug responses in clinical settings and to fully harness the potential of our existing arsenal of drugs in the context of personalized and precision medicine.</w:t>
      </w:r>
    </w:p>
    <w:p w14:paraId="19DA6131" w14:textId="77777777" w:rsidR="00DF7739" w:rsidRPr="00DF7739" w:rsidRDefault="00DF7739" w:rsidP="00DF7739">
      <w:pPr>
        <w:autoSpaceDE w:val="0"/>
        <w:autoSpaceDN w:val="0"/>
        <w:adjustRightInd w:val="0"/>
        <w:spacing w:after="0" w:line="240" w:lineRule="auto"/>
        <w:rPr>
          <w:rFonts w:ascii="Times New Roman" w:hAnsi="Times New Roman" w:cs="Times New Roman"/>
          <w:b/>
          <w:bCs/>
          <w:color w:val="000000"/>
          <w:kern w:val="0"/>
          <w:lang w:val="en-GB"/>
        </w:rPr>
      </w:pPr>
      <w:r w:rsidRPr="00DF7739">
        <w:rPr>
          <w:rFonts w:ascii="Times New Roman" w:hAnsi="Times New Roman" w:cs="Times New Roman"/>
          <w:b/>
          <w:bCs/>
          <w:color w:val="000000"/>
          <w:kern w:val="0"/>
          <w:lang w:val="en-GB"/>
        </w:rPr>
        <w:t>References</w:t>
      </w:r>
    </w:p>
    <w:p w14:paraId="69CF4CB2" w14:textId="77777777" w:rsidR="00DF7739" w:rsidRPr="00DF7739" w:rsidRDefault="00DF7739" w:rsidP="00DF7739">
      <w:pPr>
        <w:autoSpaceDE w:val="0"/>
        <w:autoSpaceDN w:val="0"/>
        <w:adjustRightInd w:val="0"/>
        <w:spacing w:after="0" w:line="240" w:lineRule="auto"/>
        <w:rPr>
          <w:rFonts w:ascii="Times New Roman" w:hAnsi="Times New Roman" w:cs="Times New Roman"/>
          <w:color w:val="000000"/>
          <w:kern w:val="0"/>
          <w:lang w:val="en-GB"/>
        </w:rPr>
      </w:pPr>
      <w:r w:rsidRPr="00DF7739">
        <w:rPr>
          <w:rFonts w:ascii="Times New Roman" w:hAnsi="Times New Roman" w:cs="Times New Roman"/>
          <w:color w:val="000000"/>
          <w:kern w:val="0"/>
          <w:lang w:val="en-GB"/>
        </w:rPr>
        <w:t xml:space="preserve">(1) Hu H, Serra C, Zhang W, Scrivo A, Fernández-Carasa I, </w:t>
      </w:r>
      <w:r w:rsidRPr="00DF7739">
        <w:rPr>
          <w:rFonts w:ascii="Times New Roman" w:hAnsi="Times New Roman" w:cs="Times New Roman"/>
          <w:i/>
          <w:iCs/>
          <w:color w:val="000000"/>
          <w:kern w:val="0"/>
          <w:lang w:val="en-GB"/>
        </w:rPr>
        <w:t>et al</w:t>
      </w:r>
      <w:r w:rsidRPr="00DF7739">
        <w:rPr>
          <w:rFonts w:ascii="Times New Roman" w:hAnsi="Times New Roman" w:cs="Times New Roman"/>
          <w:color w:val="000000"/>
          <w:kern w:val="0"/>
          <w:lang w:val="en-GB"/>
        </w:rPr>
        <w:t>. Identification of differential</w:t>
      </w:r>
    </w:p>
    <w:p w14:paraId="50BE35D5" w14:textId="77777777" w:rsidR="00DF7739" w:rsidRPr="00DF7739" w:rsidRDefault="00DF7739" w:rsidP="00DF7739">
      <w:pPr>
        <w:autoSpaceDE w:val="0"/>
        <w:autoSpaceDN w:val="0"/>
        <w:adjustRightInd w:val="0"/>
        <w:spacing w:after="0" w:line="240" w:lineRule="auto"/>
        <w:rPr>
          <w:rFonts w:ascii="Times New Roman" w:hAnsi="Times New Roman" w:cs="Times New Roman"/>
          <w:color w:val="000000"/>
          <w:kern w:val="0"/>
          <w:lang w:val="en-GB"/>
        </w:rPr>
      </w:pPr>
      <w:r w:rsidRPr="00DF7739">
        <w:rPr>
          <w:rFonts w:ascii="Times New Roman" w:hAnsi="Times New Roman" w:cs="Times New Roman"/>
          <w:color w:val="000000"/>
          <w:kern w:val="0"/>
          <w:lang w:val="en-GB"/>
        </w:rPr>
        <w:t>biological activity and synergy between the PARP inhibitor rucaparib and its major</w:t>
      </w:r>
    </w:p>
    <w:p w14:paraId="2C241F2C" w14:textId="77425959" w:rsidR="00DF7739" w:rsidRPr="00DF7739" w:rsidRDefault="00DF7739" w:rsidP="00DF7739">
      <w:pPr>
        <w:autoSpaceDE w:val="0"/>
        <w:autoSpaceDN w:val="0"/>
        <w:adjustRightInd w:val="0"/>
        <w:spacing w:after="0" w:line="240" w:lineRule="auto"/>
        <w:rPr>
          <w:rFonts w:ascii="Times New Roman" w:hAnsi="Times New Roman" w:cs="Times New Roman"/>
          <w:color w:val="000000"/>
          <w:kern w:val="0"/>
          <w:lang w:val="en-GB"/>
        </w:rPr>
      </w:pPr>
      <w:r w:rsidRPr="00DF7739">
        <w:rPr>
          <w:rFonts w:ascii="Times New Roman" w:hAnsi="Times New Roman" w:cs="Times New Roman"/>
          <w:color w:val="000000"/>
          <w:kern w:val="0"/>
          <w:lang w:val="en-GB"/>
        </w:rPr>
        <w:t xml:space="preserve">metabolite. </w:t>
      </w:r>
      <w:r w:rsidRPr="00DF7739">
        <w:rPr>
          <w:rFonts w:ascii="Times New Roman" w:hAnsi="Times New Roman" w:cs="Times New Roman"/>
          <w:b/>
          <w:bCs/>
          <w:i/>
          <w:iCs/>
          <w:color w:val="000000"/>
          <w:kern w:val="0"/>
          <w:lang w:val="en-GB"/>
        </w:rPr>
        <w:t>Cell Chemical Biology</w:t>
      </w:r>
      <w:r w:rsidRPr="00DF7739">
        <w:rPr>
          <w:rFonts w:ascii="Times New Roman" w:hAnsi="Times New Roman" w:cs="Times New Roman"/>
          <w:i/>
          <w:iCs/>
          <w:color w:val="000000"/>
          <w:kern w:val="0"/>
          <w:lang w:val="en-GB"/>
        </w:rPr>
        <w:t xml:space="preserve">, in </w:t>
      </w:r>
      <w:r w:rsidR="00617C04">
        <w:rPr>
          <w:rFonts w:ascii="Times New Roman" w:hAnsi="Times New Roman" w:cs="Times New Roman"/>
          <w:i/>
          <w:iCs/>
          <w:color w:val="000000"/>
          <w:kern w:val="0"/>
          <w:lang w:val="en-GB"/>
        </w:rPr>
        <w:t>press</w:t>
      </w:r>
      <w:r w:rsidRPr="00DF7739">
        <w:rPr>
          <w:rFonts w:ascii="Times New Roman" w:hAnsi="Times New Roman" w:cs="Times New Roman"/>
          <w:color w:val="000000"/>
          <w:kern w:val="0"/>
          <w:lang w:val="en-GB"/>
        </w:rPr>
        <w:t>. bioRxiv preprint available here:</w:t>
      </w:r>
    </w:p>
    <w:p w14:paraId="0207C43B" w14:textId="00CC98F4" w:rsidR="00DF7739" w:rsidRPr="00DF7739" w:rsidRDefault="00DF7739" w:rsidP="00DF7739">
      <w:pPr>
        <w:jc w:val="both"/>
        <w:rPr>
          <w:rFonts w:ascii="Times New Roman" w:hAnsi="Times New Roman" w:cs="Times New Roman"/>
          <w:sz w:val="20"/>
          <w:szCs w:val="20"/>
          <w:lang w:val="en-GB"/>
        </w:rPr>
      </w:pPr>
      <w:r w:rsidRPr="00DF7739">
        <w:rPr>
          <w:rFonts w:ascii="Times New Roman" w:hAnsi="Times New Roman" w:cs="Times New Roman"/>
          <w:color w:val="0563C2"/>
          <w:kern w:val="0"/>
          <w:lang w:val="en-GB"/>
        </w:rPr>
        <w:t>https://www.biorxiv.org/content/10.1101/2022.11.22.517505v1</w:t>
      </w:r>
    </w:p>
    <w:sectPr w:rsidR="00DF7739" w:rsidRPr="00DF77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97688"/>
    <w:multiLevelType w:val="hybridMultilevel"/>
    <w:tmpl w:val="08480E1A"/>
    <w:lvl w:ilvl="0" w:tplc="5B02DB60">
      <w:start w:val="1"/>
      <w:numFmt w:val="decimal"/>
      <w:lvlText w:val="%1)"/>
      <w:lvlJc w:val="left"/>
      <w:pPr>
        <w:tabs>
          <w:tab w:val="num" w:pos="720"/>
        </w:tabs>
        <w:ind w:left="720" w:hanging="360"/>
      </w:pPr>
    </w:lvl>
    <w:lvl w:ilvl="1" w:tplc="AC663D70" w:tentative="1">
      <w:start w:val="1"/>
      <w:numFmt w:val="decimal"/>
      <w:lvlText w:val="%2)"/>
      <w:lvlJc w:val="left"/>
      <w:pPr>
        <w:tabs>
          <w:tab w:val="num" w:pos="1440"/>
        </w:tabs>
        <w:ind w:left="1440" w:hanging="360"/>
      </w:pPr>
    </w:lvl>
    <w:lvl w:ilvl="2" w:tplc="6B007580" w:tentative="1">
      <w:start w:val="1"/>
      <w:numFmt w:val="decimal"/>
      <w:lvlText w:val="%3)"/>
      <w:lvlJc w:val="left"/>
      <w:pPr>
        <w:tabs>
          <w:tab w:val="num" w:pos="2160"/>
        </w:tabs>
        <w:ind w:left="2160" w:hanging="360"/>
      </w:pPr>
    </w:lvl>
    <w:lvl w:ilvl="3" w:tplc="25660CA8" w:tentative="1">
      <w:start w:val="1"/>
      <w:numFmt w:val="decimal"/>
      <w:lvlText w:val="%4)"/>
      <w:lvlJc w:val="left"/>
      <w:pPr>
        <w:tabs>
          <w:tab w:val="num" w:pos="2880"/>
        </w:tabs>
        <w:ind w:left="2880" w:hanging="360"/>
      </w:pPr>
    </w:lvl>
    <w:lvl w:ilvl="4" w:tplc="DB6EB79C" w:tentative="1">
      <w:start w:val="1"/>
      <w:numFmt w:val="decimal"/>
      <w:lvlText w:val="%5)"/>
      <w:lvlJc w:val="left"/>
      <w:pPr>
        <w:tabs>
          <w:tab w:val="num" w:pos="3600"/>
        </w:tabs>
        <w:ind w:left="3600" w:hanging="360"/>
      </w:pPr>
    </w:lvl>
    <w:lvl w:ilvl="5" w:tplc="5FB66750" w:tentative="1">
      <w:start w:val="1"/>
      <w:numFmt w:val="decimal"/>
      <w:lvlText w:val="%6)"/>
      <w:lvlJc w:val="left"/>
      <w:pPr>
        <w:tabs>
          <w:tab w:val="num" w:pos="4320"/>
        </w:tabs>
        <w:ind w:left="4320" w:hanging="360"/>
      </w:pPr>
    </w:lvl>
    <w:lvl w:ilvl="6" w:tplc="EA404B38" w:tentative="1">
      <w:start w:val="1"/>
      <w:numFmt w:val="decimal"/>
      <w:lvlText w:val="%7)"/>
      <w:lvlJc w:val="left"/>
      <w:pPr>
        <w:tabs>
          <w:tab w:val="num" w:pos="5040"/>
        </w:tabs>
        <w:ind w:left="5040" w:hanging="360"/>
      </w:pPr>
    </w:lvl>
    <w:lvl w:ilvl="7" w:tplc="F4E8E866" w:tentative="1">
      <w:start w:val="1"/>
      <w:numFmt w:val="decimal"/>
      <w:lvlText w:val="%8)"/>
      <w:lvlJc w:val="left"/>
      <w:pPr>
        <w:tabs>
          <w:tab w:val="num" w:pos="5760"/>
        </w:tabs>
        <w:ind w:left="5760" w:hanging="360"/>
      </w:pPr>
    </w:lvl>
    <w:lvl w:ilvl="8" w:tplc="3FECBF1A" w:tentative="1">
      <w:start w:val="1"/>
      <w:numFmt w:val="decimal"/>
      <w:lvlText w:val="%9)"/>
      <w:lvlJc w:val="left"/>
      <w:pPr>
        <w:tabs>
          <w:tab w:val="num" w:pos="6480"/>
        </w:tabs>
        <w:ind w:left="6480" w:hanging="360"/>
      </w:pPr>
    </w:lvl>
  </w:abstractNum>
  <w:num w:numId="1" w16cid:durableId="206019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39"/>
    <w:rsid w:val="000532DD"/>
    <w:rsid w:val="00055AE8"/>
    <w:rsid w:val="003D1143"/>
    <w:rsid w:val="00617C04"/>
    <w:rsid w:val="00DF77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B80E"/>
  <w15:chartTrackingRefBased/>
  <w15:docId w15:val="{F5DDE59F-8E32-4EEF-8DAF-75FBD4E5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47957">
      <w:bodyDiv w:val="1"/>
      <w:marLeft w:val="0"/>
      <w:marRight w:val="0"/>
      <w:marTop w:val="0"/>
      <w:marBottom w:val="0"/>
      <w:divBdr>
        <w:top w:val="none" w:sz="0" w:space="0" w:color="auto"/>
        <w:left w:val="none" w:sz="0" w:space="0" w:color="auto"/>
        <w:bottom w:val="none" w:sz="0" w:space="0" w:color="auto"/>
        <w:right w:val="none" w:sz="0" w:space="0" w:color="auto"/>
      </w:divBdr>
      <w:divsChild>
        <w:div w:id="1541278622">
          <w:marLeft w:val="749"/>
          <w:marRight w:val="0"/>
          <w:marTop w:val="0"/>
          <w:marBottom w:val="0"/>
          <w:divBdr>
            <w:top w:val="none" w:sz="0" w:space="0" w:color="auto"/>
            <w:left w:val="none" w:sz="0" w:space="0" w:color="auto"/>
            <w:bottom w:val="none" w:sz="0" w:space="0" w:color="auto"/>
            <w:right w:val="none" w:sz="0" w:space="0" w:color="auto"/>
          </w:divBdr>
        </w:div>
        <w:div w:id="763497356">
          <w:marLeft w:val="749"/>
          <w:marRight w:val="0"/>
          <w:marTop w:val="0"/>
          <w:marBottom w:val="0"/>
          <w:divBdr>
            <w:top w:val="none" w:sz="0" w:space="0" w:color="auto"/>
            <w:left w:val="none" w:sz="0" w:space="0" w:color="auto"/>
            <w:bottom w:val="none" w:sz="0" w:space="0" w:color="auto"/>
            <w:right w:val="none" w:sz="0" w:space="0" w:color="auto"/>
          </w:divBdr>
        </w:div>
      </w:divsChild>
    </w:div>
    <w:div w:id="1473014453">
      <w:bodyDiv w:val="1"/>
      <w:marLeft w:val="0"/>
      <w:marRight w:val="0"/>
      <w:marTop w:val="0"/>
      <w:marBottom w:val="0"/>
      <w:divBdr>
        <w:top w:val="none" w:sz="0" w:space="0" w:color="auto"/>
        <w:left w:val="none" w:sz="0" w:space="0" w:color="auto"/>
        <w:bottom w:val="none" w:sz="0" w:space="0" w:color="auto"/>
        <w:right w:val="none" w:sz="0" w:space="0" w:color="auto"/>
      </w:divBdr>
    </w:div>
    <w:div w:id="19943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7a8049-6265-47e5-b1ab-c5d67b1103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4A00E38BD88FE439C59EBC47BABA2B4" ma:contentTypeVersion="13" ma:contentTypeDescription="Crear nuevo documento." ma:contentTypeScope="" ma:versionID="8061790101f90737a29489b33188475a">
  <xsd:schema xmlns:xsd="http://www.w3.org/2001/XMLSchema" xmlns:xs="http://www.w3.org/2001/XMLSchema" xmlns:p="http://schemas.microsoft.com/office/2006/metadata/properties" xmlns:ns3="687a8049-6265-47e5-b1ab-c5d67b110337" xmlns:ns4="68049da2-532d-45f1-a640-1830d7e42720" targetNamespace="http://schemas.microsoft.com/office/2006/metadata/properties" ma:root="true" ma:fieldsID="772a7888dbb965693c489631ec1e1f59" ns3:_="" ns4:_="">
    <xsd:import namespace="687a8049-6265-47e5-b1ab-c5d67b110337"/>
    <xsd:import namespace="68049da2-532d-45f1-a640-1830d7e4272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a8049-6265-47e5-b1ab-c5d67b110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49da2-532d-45f1-a640-1830d7e42720"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6297D-9F92-479E-A89C-900A0B5D7024}">
  <ds:schemaRefs>
    <ds:schemaRef ds:uri="http://schemas.microsoft.com/office/2006/metadata/properties"/>
    <ds:schemaRef ds:uri="http://schemas.microsoft.com/office/infopath/2007/PartnerControls"/>
    <ds:schemaRef ds:uri="687a8049-6265-47e5-b1ab-c5d67b110337"/>
  </ds:schemaRefs>
</ds:datastoreItem>
</file>

<file path=customXml/itemProps2.xml><?xml version="1.0" encoding="utf-8"?>
<ds:datastoreItem xmlns:ds="http://schemas.openxmlformats.org/officeDocument/2006/customXml" ds:itemID="{1156E71B-4C11-4E7B-AE7B-E4EE470CFCE3}">
  <ds:schemaRefs>
    <ds:schemaRef ds:uri="http://schemas.microsoft.com/sharepoint/v3/contenttype/forms"/>
  </ds:schemaRefs>
</ds:datastoreItem>
</file>

<file path=customXml/itemProps3.xml><?xml version="1.0" encoding="utf-8"?>
<ds:datastoreItem xmlns:ds="http://schemas.openxmlformats.org/officeDocument/2006/customXml" ds:itemID="{90BBBBD0-5D60-4B1F-B1F0-CC3CD014B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a8049-6265-47e5-b1ab-c5d67b110337"/>
    <ds:schemaRef ds:uri="68049da2-532d-45f1-a640-1830d7e4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2261</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Manén Freixa</dc:creator>
  <cp:keywords/>
  <dc:description/>
  <cp:lastModifiedBy>Leticia Manén Freixa</cp:lastModifiedBy>
  <cp:revision>3</cp:revision>
  <dcterms:created xsi:type="dcterms:W3CDTF">2023-10-18T10:26:00Z</dcterms:created>
  <dcterms:modified xsi:type="dcterms:W3CDTF">2023-10-27T11:22:00Z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0x01010034A00E38BD88FE439C59EBC47BABA2B4</vt:lpwstr>
  </property>
</Properties>
</file>