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0E6" w14:textId="77777777" w:rsidR="007F7A67" w:rsidRDefault="007F7A67" w:rsidP="009142A5">
      <w:pPr>
        <w:pStyle w:val="MDPI16affiliation"/>
        <w:spacing w:after="240" w:line="360" w:lineRule="auto"/>
        <w:ind w:left="0" w:firstLine="0"/>
        <w:jc w:val="center"/>
        <w:rPr>
          <w:rFonts w:ascii="Times New Roman" w:hAnsi="Times New Roman"/>
          <w:b/>
          <w:sz w:val="32"/>
          <w:szCs w:val="32"/>
          <w:lang w:val="en-GB"/>
        </w:rPr>
      </w:pPr>
    </w:p>
    <w:p w14:paraId="3F33E6CF" w14:textId="31A45A70" w:rsidR="009142A5" w:rsidRPr="007F7A67" w:rsidRDefault="009142A5" w:rsidP="009142A5">
      <w:pPr>
        <w:pStyle w:val="MDPI16affiliation"/>
        <w:spacing w:after="240" w:line="360" w:lineRule="auto"/>
        <w:ind w:left="0" w:firstLine="0"/>
        <w:jc w:val="center"/>
        <w:rPr>
          <w:rFonts w:ascii="Times New Roman" w:hAnsi="Times New Roman"/>
          <w:b/>
          <w:sz w:val="32"/>
          <w:szCs w:val="32"/>
          <w:lang w:val="en-GB"/>
        </w:rPr>
      </w:pPr>
      <w:r w:rsidRPr="007F7A67">
        <w:rPr>
          <w:rFonts w:ascii="Times New Roman" w:hAnsi="Times New Roman"/>
          <w:b/>
          <w:sz w:val="32"/>
          <w:szCs w:val="32"/>
          <w:lang w:val="en-GB"/>
        </w:rPr>
        <w:t xml:space="preserve">Novel bicyclic </w:t>
      </w:r>
      <w:r w:rsidRPr="009142A5">
        <w:rPr>
          <w:rFonts w:ascii="Times New Roman" w:hAnsi="Times New Roman"/>
          <w:b/>
          <w:sz w:val="32"/>
          <w:szCs w:val="32"/>
          <w:lang w:val="it-IT"/>
        </w:rPr>
        <w:t>α</w:t>
      </w:r>
      <w:r w:rsidRPr="007F7A67">
        <w:rPr>
          <w:rFonts w:ascii="Times New Roman" w:hAnsi="Times New Roman"/>
          <w:b/>
          <w:sz w:val="32"/>
          <w:szCs w:val="32"/>
          <w:lang w:val="en-GB"/>
        </w:rPr>
        <w:t>-</w:t>
      </w:r>
      <w:proofErr w:type="spellStart"/>
      <w:r w:rsidRPr="007F7A67">
        <w:rPr>
          <w:rFonts w:ascii="Times New Roman" w:hAnsi="Times New Roman"/>
          <w:b/>
          <w:sz w:val="32"/>
          <w:szCs w:val="32"/>
          <w:lang w:val="en-GB"/>
        </w:rPr>
        <w:t>iminophosphonate</w:t>
      </w:r>
      <w:proofErr w:type="spellEnd"/>
      <w:r w:rsidRPr="007F7A67">
        <w:rPr>
          <w:rFonts w:ascii="Times New Roman" w:hAnsi="Times New Roman"/>
          <w:b/>
          <w:sz w:val="32"/>
          <w:szCs w:val="32"/>
          <w:lang w:val="en-GB"/>
        </w:rPr>
        <w:t xml:space="preserve"> ligands targeting the imidazoline I2 receptor as neuroprotective agents</w:t>
      </w:r>
    </w:p>
    <w:p w14:paraId="0A3935C9" w14:textId="35956441" w:rsidR="00C6653C" w:rsidRPr="00C6653C" w:rsidRDefault="00C6653C" w:rsidP="009142A5">
      <w:pPr>
        <w:pStyle w:val="MDPI16affiliation"/>
        <w:spacing w:after="240" w:line="360" w:lineRule="auto"/>
        <w:ind w:left="0" w:firstLine="0"/>
        <w:jc w:val="center"/>
        <w:rPr>
          <w:rFonts w:ascii="Times New Roman" w:hAnsi="Times New Roman"/>
          <w:i/>
          <w:sz w:val="24"/>
          <w:szCs w:val="24"/>
        </w:rPr>
      </w:pPr>
      <w:r w:rsidRPr="00C6653C">
        <w:rPr>
          <w:rFonts w:ascii="Times New Roman" w:hAnsi="Times New Roman"/>
          <w:i/>
          <w:sz w:val="24"/>
          <w:szCs w:val="24"/>
        </w:rPr>
        <w:t xml:space="preserve">Carla </w:t>
      </w:r>
      <w:proofErr w:type="spellStart"/>
      <w:r w:rsidRPr="00C6653C">
        <w:rPr>
          <w:rFonts w:ascii="Times New Roman" w:hAnsi="Times New Roman"/>
          <w:i/>
          <w:sz w:val="24"/>
          <w:szCs w:val="24"/>
        </w:rPr>
        <w:t>Barbaraci</w:t>
      </w:r>
      <w:r w:rsidRPr="00C6653C">
        <w:rPr>
          <w:rFonts w:ascii="Times New Roman" w:hAnsi="Times New Roman"/>
          <w:i/>
          <w:sz w:val="24"/>
          <w:szCs w:val="24"/>
          <w:vertAlign w:val="superscript"/>
        </w:rPr>
        <w:t>a</w:t>
      </w:r>
      <w:proofErr w:type="spellEnd"/>
      <w:r w:rsidRPr="00C6653C">
        <w:rPr>
          <w:rFonts w:ascii="Times New Roman" w:hAnsi="Times New Roman"/>
          <w:i/>
          <w:sz w:val="24"/>
          <w:szCs w:val="24"/>
        </w:rPr>
        <w:t xml:space="preserve">, Andrea </w:t>
      </w:r>
      <w:proofErr w:type="spellStart"/>
      <w:r w:rsidRPr="00C6653C">
        <w:rPr>
          <w:rFonts w:ascii="Times New Roman" w:hAnsi="Times New Roman"/>
          <w:i/>
          <w:sz w:val="24"/>
          <w:szCs w:val="24"/>
        </w:rPr>
        <w:t>Bagan</w:t>
      </w:r>
      <w:r w:rsidRPr="00C6653C">
        <w:rPr>
          <w:rFonts w:ascii="Times New Roman" w:hAnsi="Times New Roman"/>
          <w:i/>
          <w:sz w:val="24"/>
          <w:szCs w:val="24"/>
          <w:vertAlign w:val="superscript"/>
        </w:rPr>
        <w:t>a</w:t>
      </w:r>
      <w:proofErr w:type="spellEnd"/>
      <w:r w:rsidRPr="00C6653C">
        <w:rPr>
          <w:rFonts w:ascii="Times New Roman" w:hAnsi="Times New Roman"/>
          <w:i/>
          <w:sz w:val="24"/>
          <w:szCs w:val="24"/>
        </w:rPr>
        <w:t xml:space="preserve">, Alba </w:t>
      </w:r>
      <w:proofErr w:type="spellStart"/>
      <w:r w:rsidRPr="00C6653C">
        <w:rPr>
          <w:rFonts w:ascii="Times New Roman" w:hAnsi="Times New Roman"/>
          <w:i/>
          <w:sz w:val="24"/>
          <w:szCs w:val="24"/>
        </w:rPr>
        <w:t>Irisarri</w:t>
      </w:r>
      <w:r w:rsidRPr="00C6653C">
        <w:rPr>
          <w:rFonts w:ascii="Times New Roman" w:hAnsi="Times New Roman"/>
          <w:i/>
          <w:color w:val="auto"/>
          <w:sz w:val="24"/>
          <w:szCs w:val="24"/>
          <w:vertAlign w:val="superscript"/>
        </w:rPr>
        <w:t>b</w:t>
      </w:r>
      <w:proofErr w:type="spellEnd"/>
      <w:r w:rsidRPr="00C6653C">
        <w:rPr>
          <w:rFonts w:ascii="Times New Roman" w:hAnsi="Times New Roman"/>
          <w:i/>
          <w:sz w:val="24"/>
          <w:szCs w:val="24"/>
        </w:rPr>
        <w:t xml:space="preserve">, Christian </w:t>
      </w:r>
      <w:proofErr w:type="spellStart"/>
      <w:r w:rsidRPr="00C6653C">
        <w:rPr>
          <w:rFonts w:ascii="Times New Roman" w:hAnsi="Times New Roman"/>
          <w:i/>
          <w:sz w:val="24"/>
          <w:szCs w:val="24"/>
        </w:rPr>
        <w:t>Grinan-Ferre</w:t>
      </w:r>
      <w:r w:rsidRPr="00C6653C">
        <w:rPr>
          <w:rFonts w:ascii="Times New Roman" w:hAnsi="Times New Roman"/>
          <w:i/>
          <w:sz w:val="24"/>
          <w:szCs w:val="24"/>
          <w:vertAlign w:val="superscript"/>
        </w:rPr>
        <w:t>bc</w:t>
      </w:r>
      <w:proofErr w:type="spellEnd"/>
      <w:r w:rsidRPr="00C6653C">
        <w:rPr>
          <w:rFonts w:ascii="Times New Roman" w:hAnsi="Times New Roman"/>
          <w:i/>
          <w:sz w:val="24"/>
          <w:szCs w:val="24"/>
        </w:rPr>
        <w:t xml:space="preserve">, Merce </w:t>
      </w:r>
      <w:proofErr w:type="spellStart"/>
      <w:r w:rsidRPr="00C6653C">
        <w:rPr>
          <w:rFonts w:ascii="Times New Roman" w:hAnsi="Times New Roman"/>
          <w:i/>
          <w:sz w:val="24"/>
          <w:szCs w:val="24"/>
        </w:rPr>
        <w:t>Pallas</w:t>
      </w:r>
      <w:r w:rsidRPr="00C6653C">
        <w:rPr>
          <w:rFonts w:ascii="Times New Roman" w:hAnsi="Times New Roman"/>
          <w:i/>
          <w:sz w:val="24"/>
          <w:szCs w:val="24"/>
          <w:vertAlign w:val="superscript"/>
        </w:rPr>
        <w:t>b</w:t>
      </w:r>
      <w:proofErr w:type="spellEnd"/>
      <w:r w:rsidRPr="00C6653C">
        <w:rPr>
          <w:rFonts w:ascii="Times New Roman" w:hAnsi="Times New Roman"/>
          <w:i/>
          <w:sz w:val="24"/>
          <w:szCs w:val="24"/>
        </w:rPr>
        <w:t>, Elies Molins</w:t>
      </w:r>
      <w:r w:rsidRPr="00C6653C">
        <w:rPr>
          <w:rFonts w:ascii="Times New Roman" w:hAnsi="Times New Roman"/>
          <w:i/>
          <w:sz w:val="24"/>
          <w:szCs w:val="24"/>
          <w:vertAlign w:val="superscript"/>
          <w:lang w:val="en-GB"/>
        </w:rPr>
        <w:t>d</w:t>
      </w:r>
      <w:r w:rsidRPr="00C6653C">
        <w:rPr>
          <w:rFonts w:ascii="Times New Roman" w:hAnsi="Times New Roman"/>
          <w:i/>
          <w:sz w:val="24"/>
          <w:szCs w:val="24"/>
        </w:rPr>
        <w:t>, Jose A. Morales-Garcia</w:t>
      </w:r>
      <w:r>
        <w:rPr>
          <w:rFonts w:ascii="Times New Roman" w:hAnsi="Times New Roman"/>
          <w:i/>
          <w:sz w:val="24"/>
          <w:szCs w:val="24"/>
          <w:vertAlign w:val="superscript"/>
        </w:rPr>
        <w:t>e</w:t>
      </w:r>
      <w:r w:rsidRPr="00C6653C">
        <w:rPr>
          <w:rFonts w:ascii="Times New Roman" w:hAnsi="Times New Roman"/>
          <w:i/>
          <w:sz w:val="24"/>
          <w:szCs w:val="24"/>
        </w:rPr>
        <w:t xml:space="preserve">, Carmen </w:t>
      </w:r>
      <w:proofErr w:type="spellStart"/>
      <w:r w:rsidRPr="00C6653C">
        <w:rPr>
          <w:rFonts w:ascii="Times New Roman" w:hAnsi="Times New Roman"/>
          <w:i/>
          <w:sz w:val="24"/>
          <w:szCs w:val="24"/>
        </w:rPr>
        <w:t>Escolano</w:t>
      </w:r>
      <w:r w:rsidRPr="00C6653C">
        <w:rPr>
          <w:rFonts w:ascii="Times New Roman" w:hAnsi="Times New Roman"/>
          <w:i/>
          <w:sz w:val="24"/>
          <w:szCs w:val="24"/>
          <w:vertAlign w:val="superscript"/>
        </w:rPr>
        <w:t>a</w:t>
      </w:r>
      <w:proofErr w:type="spellEnd"/>
      <w:r w:rsidRPr="00C6653C">
        <w:rPr>
          <w:rFonts w:ascii="Times New Roman" w:hAnsi="Times New Roman"/>
          <w:i/>
          <w:sz w:val="24"/>
          <w:szCs w:val="24"/>
        </w:rPr>
        <w:t>.</w:t>
      </w:r>
    </w:p>
    <w:p w14:paraId="615054AC" w14:textId="2AC6084D" w:rsidR="00C6653C" w:rsidRPr="00DF43BD" w:rsidRDefault="00C6653C" w:rsidP="00C6653C">
      <w:pPr>
        <w:pStyle w:val="MDPI16affiliation"/>
        <w:spacing w:line="480" w:lineRule="auto"/>
        <w:jc w:val="both"/>
        <w:rPr>
          <w:rFonts w:ascii="Times New Roman" w:hAnsi="Times New Roman"/>
          <w:sz w:val="24"/>
          <w:szCs w:val="24"/>
          <w:lang w:val="en-GB"/>
        </w:rPr>
      </w:pPr>
      <w:r w:rsidRPr="00DF43BD">
        <w:rPr>
          <w:rFonts w:ascii="Times New Roman" w:hAnsi="Times New Roman"/>
          <w:sz w:val="24"/>
          <w:szCs w:val="24"/>
          <w:vertAlign w:val="superscript"/>
          <w:lang w:val="en-GB"/>
        </w:rPr>
        <w:t>a</w:t>
      </w:r>
      <w:r w:rsidRPr="00DF43BD">
        <w:rPr>
          <w:rFonts w:ascii="Times New Roman" w:hAnsi="Times New Roman"/>
          <w:sz w:val="24"/>
          <w:szCs w:val="24"/>
          <w:lang w:val="en-GB"/>
        </w:rPr>
        <w:tab/>
        <w:t>Laboratory of Medicinal Chemistry (Associated Unit to CSIC), Department of Pharmacology, Toxicology and Medicinal Chemistry, Faculty of Pharmacy and Food Sciences, and Institute of Biomedicine (IBUB), University of Barcelona, Av. Joan XXIII, 27-31, E-08028, Barcelona, Spain; cescolano@ub.edu</w:t>
      </w:r>
    </w:p>
    <w:p w14:paraId="61CD2645" w14:textId="77777777" w:rsidR="00C6653C" w:rsidRPr="00734902" w:rsidRDefault="00C6653C" w:rsidP="00C6653C">
      <w:pPr>
        <w:pStyle w:val="MDPI16affiliation"/>
        <w:spacing w:line="480" w:lineRule="auto"/>
        <w:jc w:val="both"/>
        <w:rPr>
          <w:rFonts w:ascii="Times New Roman" w:hAnsi="Times New Roman"/>
          <w:sz w:val="24"/>
          <w:szCs w:val="24"/>
        </w:rPr>
      </w:pPr>
      <w:r w:rsidRPr="00DF43BD">
        <w:rPr>
          <w:rFonts w:ascii="Times New Roman" w:hAnsi="Times New Roman"/>
          <w:sz w:val="24"/>
          <w:szCs w:val="24"/>
          <w:vertAlign w:val="superscript"/>
          <w:lang w:val="en-GB"/>
        </w:rPr>
        <w:t>b</w:t>
      </w:r>
      <w:r w:rsidRPr="00DF43BD">
        <w:rPr>
          <w:rFonts w:ascii="Times New Roman" w:hAnsi="Times New Roman"/>
          <w:sz w:val="24"/>
          <w:szCs w:val="24"/>
          <w:lang w:val="en-GB"/>
        </w:rPr>
        <w:tab/>
        <w:t xml:space="preserve">Pharmacology Section, Toxicology and Medicinal Chemistry, Faculty of Pharmacy and Food Sciences, and </w:t>
      </w:r>
      <w:proofErr w:type="spellStart"/>
      <w:r w:rsidRPr="00DF43BD">
        <w:rPr>
          <w:rFonts w:ascii="Times New Roman" w:hAnsi="Times New Roman"/>
          <w:sz w:val="24"/>
          <w:szCs w:val="24"/>
          <w:lang w:val="en-GB"/>
        </w:rPr>
        <w:t>Institut</w:t>
      </w:r>
      <w:proofErr w:type="spellEnd"/>
      <w:r w:rsidRPr="00DF43BD">
        <w:rPr>
          <w:rFonts w:ascii="Times New Roman" w:hAnsi="Times New Roman"/>
          <w:sz w:val="24"/>
          <w:szCs w:val="24"/>
          <w:lang w:val="en-GB"/>
        </w:rPr>
        <w:t xml:space="preserve"> de </w:t>
      </w:r>
      <w:proofErr w:type="spellStart"/>
      <w:r w:rsidRPr="00DF43BD">
        <w:rPr>
          <w:rFonts w:ascii="Times New Roman" w:hAnsi="Times New Roman"/>
          <w:sz w:val="24"/>
          <w:szCs w:val="24"/>
          <w:lang w:val="en-GB"/>
        </w:rPr>
        <w:t>Neurociències</w:t>
      </w:r>
      <w:proofErr w:type="spellEnd"/>
      <w:r w:rsidRPr="00DF43BD">
        <w:rPr>
          <w:rFonts w:ascii="Times New Roman" w:hAnsi="Times New Roman"/>
          <w:sz w:val="24"/>
          <w:szCs w:val="24"/>
          <w:lang w:val="en-GB"/>
        </w:rPr>
        <w:t xml:space="preserve">, University of Barcelona, Av. </w:t>
      </w:r>
      <w:r w:rsidRPr="00734902">
        <w:rPr>
          <w:rFonts w:ascii="Times New Roman" w:hAnsi="Times New Roman"/>
          <w:sz w:val="24"/>
          <w:szCs w:val="24"/>
        </w:rPr>
        <w:t>Joan XXIII, 27-31. E-08028, Barcelona, Spain.</w:t>
      </w:r>
    </w:p>
    <w:p w14:paraId="16421277" w14:textId="77777777" w:rsidR="00C6653C" w:rsidRPr="00E11F10" w:rsidRDefault="00C6653C" w:rsidP="00C6653C">
      <w:pPr>
        <w:pStyle w:val="MDPI16affiliation"/>
        <w:spacing w:line="480" w:lineRule="auto"/>
        <w:jc w:val="both"/>
        <w:rPr>
          <w:rFonts w:ascii="Times New Roman" w:hAnsi="Times New Roman"/>
          <w:sz w:val="24"/>
          <w:szCs w:val="24"/>
        </w:rPr>
      </w:pPr>
      <w:r w:rsidRPr="00734902">
        <w:rPr>
          <w:rFonts w:ascii="Times New Roman" w:hAnsi="Times New Roman"/>
          <w:sz w:val="24"/>
          <w:szCs w:val="24"/>
          <w:vertAlign w:val="superscript"/>
        </w:rPr>
        <w:t>c</w:t>
      </w:r>
      <w:r w:rsidRPr="00734902">
        <w:rPr>
          <w:rFonts w:ascii="Times New Roman" w:hAnsi="Times New Roman"/>
          <w:sz w:val="24"/>
          <w:szCs w:val="24"/>
          <w:vertAlign w:val="superscript"/>
        </w:rPr>
        <w:tab/>
      </w:r>
      <w:r w:rsidRPr="00734902">
        <w:rPr>
          <w:rFonts w:ascii="Times New Roman" w:hAnsi="Times New Roman"/>
          <w:sz w:val="24"/>
          <w:szCs w:val="24"/>
        </w:rPr>
        <w:t xml:space="preserve"> </w:t>
      </w:r>
      <w:r w:rsidRPr="00DF05CA">
        <w:rPr>
          <w:rFonts w:ascii="Times New Roman" w:hAnsi="Times New Roman"/>
          <w:sz w:val="24"/>
          <w:szCs w:val="24"/>
          <w:lang w:val="en-GB"/>
        </w:rPr>
        <w:t xml:space="preserve">Department of Pharmacology, University of the Basque Country, UPV/EHU, </w:t>
      </w:r>
      <w:proofErr w:type="spellStart"/>
      <w:r w:rsidRPr="00DF05CA">
        <w:rPr>
          <w:rFonts w:ascii="Times New Roman" w:hAnsi="Times New Roman"/>
          <w:sz w:val="24"/>
          <w:szCs w:val="24"/>
          <w:lang w:val="en-GB"/>
        </w:rPr>
        <w:t>Biocruces</w:t>
      </w:r>
      <w:proofErr w:type="spellEnd"/>
      <w:r w:rsidRPr="00DF05CA">
        <w:rPr>
          <w:rFonts w:ascii="Times New Roman" w:hAnsi="Times New Roman"/>
          <w:sz w:val="24"/>
          <w:szCs w:val="24"/>
          <w:lang w:val="en-GB"/>
        </w:rPr>
        <w:t xml:space="preserve"> Bizkaia Health Research Institute and Centro de </w:t>
      </w:r>
      <w:proofErr w:type="spellStart"/>
      <w:r w:rsidRPr="00DF05CA">
        <w:rPr>
          <w:rFonts w:ascii="Times New Roman" w:hAnsi="Times New Roman"/>
          <w:sz w:val="24"/>
          <w:szCs w:val="24"/>
          <w:lang w:val="en-GB"/>
        </w:rPr>
        <w:t>Investigación</w:t>
      </w:r>
      <w:proofErr w:type="spellEnd"/>
      <w:r w:rsidRPr="00DF05CA">
        <w:rPr>
          <w:rFonts w:ascii="Times New Roman" w:hAnsi="Times New Roman"/>
          <w:sz w:val="24"/>
          <w:szCs w:val="24"/>
          <w:lang w:val="en-GB"/>
        </w:rPr>
        <w:t xml:space="preserve"> </w:t>
      </w:r>
      <w:proofErr w:type="spellStart"/>
      <w:r w:rsidRPr="00DF05CA">
        <w:rPr>
          <w:rFonts w:ascii="Times New Roman" w:hAnsi="Times New Roman"/>
          <w:sz w:val="24"/>
          <w:szCs w:val="24"/>
          <w:lang w:val="en-GB"/>
        </w:rPr>
        <w:t>Biomédica</w:t>
      </w:r>
      <w:proofErr w:type="spellEnd"/>
      <w:r w:rsidRPr="00DF05CA">
        <w:rPr>
          <w:rFonts w:ascii="Times New Roman" w:hAnsi="Times New Roman"/>
          <w:sz w:val="24"/>
          <w:szCs w:val="24"/>
          <w:lang w:val="en-GB"/>
        </w:rPr>
        <w:t xml:space="preserve"> </w:t>
      </w:r>
      <w:proofErr w:type="spellStart"/>
      <w:r w:rsidRPr="00DF05CA">
        <w:rPr>
          <w:rFonts w:ascii="Times New Roman" w:hAnsi="Times New Roman"/>
          <w:sz w:val="24"/>
          <w:szCs w:val="24"/>
          <w:lang w:val="en-GB"/>
        </w:rPr>
        <w:t>en</w:t>
      </w:r>
      <w:proofErr w:type="spellEnd"/>
      <w:r w:rsidRPr="00DF05CA">
        <w:rPr>
          <w:rFonts w:ascii="Times New Roman" w:hAnsi="Times New Roman"/>
          <w:sz w:val="24"/>
          <w:szCs w:val="24"/>
          <w:lang w:val="en-GB"/>
        </w:rPr>
        <w:t xml:space="preserve"> Red de Salud Mental (CIBERSAM), 48940 </w:t>
      </w:r>
      <w:proofErr w:type="spellStart"/>
      <w:r w:rsidRPr="00DF05CA">
        <w:rPr>
          <w:rFonts w:ascii="Times New Roman" w:hAnsi="Times New Roman"/>
          <w:sz w:val="24"/>
          <w:szCs w:val="24"/>
          <w:lang w:val="en-GB"/>
        </w:rPr>
        <w:t>Leioa</w:t>
      </w:r>
      <w:proofErr w:type="spellEnd"/>
      <w:r w:rsidRPr="00DF05CA">
        <w:rPr>
          <w:rFonts w:ascii="Times New Roman" w:hAnsi="Times New Roman"/>
          <w:sz w:val="24"/>
          <w:szCs w:val="24"/>
          <w:lang w:val="en-GB"/>
        </w:rPr>
        <w:t xml:space="preserve">, Bizkaia, Spain. </w:t>
      </w:r>
    </w:p>
    <w:p w14:paraId="06E415FD" w14:textId="57D3FA26" w:rsidR="00C6653C" w:rsidRPr="00C6653C" w:rsidRDefault="00C6653C" w:rsidP="00C6653C">
      <w:pPr>
        <w:pStyle w:val="MDPI16affiliation"/>
        <w:spacing w:line="480" w:lineRule="auto"/>
        <w:jc w:val="both"/>
        <w:rPr>
          <w:rFonts w:ascii="Times New Roman" w:hAnsi="Times New Roman"/>
          <w:sz w:val="24"/>
          <w:szCs w:val="24"/>
          <w:lang w:val="es-ES"/>
        </w:rPr>
      </w:pPr>
      <w:r w:rsidRPr="00C6653C">
        <w:rPr>
          <w:rFonts w:ascii="Times New Roman" w:hAnsi="Times New Roman"/>
          <w:sz w:val="24"/>
          <w:szCs w:val="24"/>
          <w:vertAlign w:val="superscript"/>
          <w:lang w:val="es-ES"/>
        </w:rPr>
        <w:t>d</w:t>
      </w:r>
      <w:r w:rsidRPr="00C6653C">
        <w:rPr>
          <w:rFonts w:ascii="Times New Roman" w:hAnsi="Times New Roman"/>
          <w:sz w:val="24"/>
          <w:szCs w:val="24"/>
          <w:lang w:val="es-ES"/>
        </w:rPr>
        <w:tab/>
      </w:r>
      <w:proofErr w:type="spellStart"/>
      <w:r w:rsidRPr="00C6653C">
        <w:rPr>
          <w:rFonts w:ascii="Times New Roman" w:hAnsi="Times New Roman"/>
          <w:sz w:val="24"/>
          <w:szCs w:val="24"/>
          <w:lang w:val="es-ES"/>
        </w:rPr>
        <w:t>In</w:t>
      </w:r>
      <w:r>
        <w:rPr>
          <w:rFonts w:ascii="Times New Roman" w:hAnsi="Times New Roman"/>
          <w:sz w:val="24"/>
          <w:szCs w:val="24"/>
          <w:lang w:val="es-ES"/>
        </w:rPr>
        <w:t>situt</w:t>
      </w:r>
      <w:proofErr w:type="spellEnd"/>
      <w:r>
        <w:rPr>
          <w:rFonts w:ascii="Times New Roman" w:hAnsi="Times New Roman"/>
          <w:sz w:val="24"/>
          <w:szCs w:val="24"/>
          <w:lang w:val="es-ES"/>
        </w:rPr>
        <w:t xml:space="preserve"> </w:t>
      </w:r>
      <w:r w:rsidRPr="00C6653C">
        <w:rPr>
          <w:rFonts w:ascii="Times New Roman" w:hAnsi="Times New Roman"/>
          <w:sz w:val="24"/>
          <w:szCs w:val="24"/>
          <w:lang w:val="es-ES"/>
        </w:rPr>
        <w:t xml:space="preserve">de </w:t>
      </w:r>
      <w:proofErr w:type="spellStart"/>
      <w:r w:rsidRPr="00C6653C">
        <w:rPr>
          <w:rFonts w:ascii="Times New Roman" w:hAnsi="Times New Roman"/>
          <w:sz w:val="24"/>
          <w:szCs w:val="24"/>
          <w:lang w:val="es-ES"/>
        </w:rPr>
        <w:t>Ciència</w:t>
      </w:r>
      <w:proofErr w:type="spellEnd"/>
      <w:r w:rsidRPr="00C6653C">
        <w:rPr>
          <w:rFonts w:ascii="Times New Roman" w:hAnsi="Times New Roman"/>
          <w:sz w:val="24"/>
          <w:szCs w:val="24"/>
          <w:lang w:val="es-ES"/>
        </w:rPr>
        <w:t xml:space="preserve"> de </w:t>
      </w:r>
      <w:proofErr w:type="spellStart"/>
      <w:r w:rsidRPr="00C6653C">
        <w:rPr>
          <w:rFonts w:ascii="Times New Roman" w:hAnsi="Times New Roman"/>
          <w:sz w:val="24"/>
          <w:szCs w:val="24"/>
          <w:lang w:val="es-ES"/>
        </w:rPr>
        <w:t>Materials</w:t>
      </w:r>
      <w:proofErr w:type="spellEnd"/>
      <w:r w:rsidRPr="00C6653C">
        <w:rPr>
          <w:rFonts w:ascii="Times New Roman" w:hAnsi="Times New Roman"/>
          <w:sz w:val="24"/>
          <w:szCs w:val="24"/>
          <w:lang w:val="es-ES"/>
        </w:rPr>
        <w:t xml:space="preserve"> de Barcelona (CSIC), Campus UAB, E-08193 Cerdanyola, </w:t>
      </w:r>
      <w:proofErr w:type="spellStart"/>
      <w:r w:rsidRPr="00C6653C">
        <w:rPr>
          <w:rFonts w:ascii="Times New Roman" w:hAnsi="Times New Roman"/>
          <w:sz w:val="24"/>
          <w:szCs w:val="24"/>
          <w:lang w:val="es-ES"/>
        </w:rPr>
        <w:t>Spain</w:t>
      </w:r>
      <w:proofErr w:type="spellEnd"/>
    </w:p>
    <w:p w14:paraId="2782C9B6" w14:textId="3C14D960" w:rsidR="00C6653C" w:rsidRDefault="00C6653C" w:rsidP="00C6653C">
      <w:pPr>
        <w:pStyle w:val="MDPI16affiliation"/>
        <w:spacing w:line="480" w:lineRule="auto"/>
        <w:jc w:val="both"/>
        <w:rPr>
          <w:rFonts w:ascii="Times New Roman" w:eastAsia="SimSun" w:hAnsi="Times New Roman"/>
          <w:sz w:val="24"/>
          <w:szCs w:val="24"/>
          <w:lang w:eastAsia="zh-CN" w:bidi="ar-SA"/>
        </w:rPr>
      </w:pPr>
      <w:r>
        <w:rPr>
          <w:rFonts w:ascii="Times New Roman" w:hAnsi="Times New Roman"/>
          <w:sz w:val="24"/>
          <w:szCs w:val="24"/>
          <w:vertAlign w:val="superscript"/>
        </w:rPr>
        <w:t>e</w:t>
      </w:r>
      <w:r w:rsidRPr="00DF43BD">
        <w:rPr>
          <w:rFonts w:ascii="Times New Roman" w:hAnsi="Times New Roman"/>
          <w:sz w:val="24"/>
          <w:szCs w:val="24"/>
          <w:lang w:val="en-GB"/>
        </w:rPr>
        <w:t xml:space="preserve"> </w:t>
      </w:r>
      <w:r w:rsidRPr="00C6653C">
        <w:rPr>
          <w:rFonts w:ascii="Times New Roman" w:eastAsia="SimSun" w:hAnsi="Times New Roman"/>
          <w:sz w:val="24"/>
          <w:szCs w:val="24"/>
          <w:lang w:eastAsia="zh-CN" w:bidi="ar-SA"/>
        </w:rPr>
        <w:t xml:space="preserve">Department of Cell Biology. School of Medicine. </w:t>
      </w:r>
      <w:proofErr w:type="spellStart"/>
      <w:r w:rsidRPr="00C6653C">
        <w:rPr>
          <w:rFonts w:ascii="Times New Roman" w:eastAsia="SimSun" w:hAnsi="Times New Roman"/>
          <w:sz w:val="24"/>
          <w:szCs w:val="24"/>
          <w:lang w:eastAsia="zh-CN" w:bidi="ar-SA"/>
        </w:rPr>
        <w:t>Complutense</w:t>
      </w:r>
      <w:proofErr w:type="spellEnd"/>
      <w:r w:rsidRPr="00C6653C">
        <w:rPr>
          <w:rFonts w:ascii="Times New Roman" w:eastAsia="SimSun" w:hAnsi="Times New Roman"/>
          <w:sz w:val="24"/>
          <w:szCs w:val="24"/>
          <w:lang w:eastAsia="zh-CN" w:bidi="ar-SA"/>
        </w:rPr>
        <w:t xml:space="preserve"> University (UCM), 28040 Madrid, Spain</w:t>
      </w:r>
      <w:r>
        <w:rPr>
          <w:rFonts w:ascii="Times New Roman" w:eastAsia="SimSun" w:hAnsi="Times New Roman"/>
          <w:sz w:val="24"/>
          <w:szCs w:val="24"/>
          <w:lang w:eastAsia="zh-CN" w:bidi="ar-SA"/>
        </w:rPr>
        <w:t>.</w:t>
      </w:r>
    </w:p>
    <w:p w14:paraId="1BC63DBF" w14:textId="77777777" w:rsidR="00060D9F" w:rsidRDefault="00060D9F" w:rsidP="00C6653C">
      <w:pPr>
        <w:pStyle w:val="MDPI16affiliation"/>
        <w:spacing w:line="480" w:lineRule="auto"/>
        <w:jc w:val="both"/>
        <w:rPr>
          <w:rFonts w:ascii="Times New Roman" w:hAnsi="Times New Roman"/>
          <w:sz w:val="24"/>
          <w:szCs w:val="24"/>
          <w:vertAlign w:val="superscript"/>
        </w:rPr>
      </w:pPr>
    </w:p>
    <w:p w14:paraId="17453685" w14:textId="77777777" w:rsidR="007F7A67" w:rsidRDefault="00060D9F" w:rsidP="00060D9F">
      <w:pPr>
        <w:spacing w:line="480" w:lineRule="auto"/>
        <w:ind w:firstLine="113"/>
        <w:jc w:val="both"/>
        <w:rPr>
          <w:rFonts w:ascii="Times New Roman" w:hAnsi="Times New Roman" w:cs="Times New Roman"/>
          <w:sz w:val="24"/>
          <w:szCs w:val="24"/>
          <w:lang w:val="en-GB"/>
        </w:rPr>
      </w:pPr>
      <w:r w:rsidRPr="00060D9F">
        <w:rPr>
          <w:rFonts w:ascii="Times New Roman" w:hAnsi="Times New Roman" w:cs="Times New Roman"/>
          <w:sz w:val="24"/>
          <w:szCs w:val="24"/>
          <w:lang w:val="en-GB"/>
        </w:rPr>
        <w:t>Imidazoline I</w:t>
      </w:r>
      <w:r w:rsidRPr="00060D9F">
        <w:rPr>
          <w:rFonts w:ascii="Times New Roman" w:hAnsi="Times New Roman" w:cs="Times New Roman"/>
          <w:sz w:val="24"/>
          <w:szCs w:val="24"/>
          <w:vertAlign w:val="subscript"/>
          <w:lang w:val="en-GB"/>
        </w:rPr>
        <w:t>2</w:t>
      </w:r>
      <w:r w:rsidRPr="00060D9F">
        <w:rPr>
          <w:rFonts w:ascii="Times New Roman" w:hAnsi="Times New Roman" w:cs="Times New Roman"/>
          <w:sz w:val="24"/>
          <w:szCs w:val="24"/>
          <w:lang w:val="en-GB"/>
        </w:rPr>
        <w:t xml:space="preserve"> receptors (I</w:t>
      </w:r>
      <w:r w:rsidRPr="00060D9F">
        <w:rPr>
          <w:rFonts w:ascii="Times New Roman" w:hAnsi="Times New Roman" w:cs="Times New Roman"/>
          <w:sz w:val="24"/>
          <w:szCs w:val="24"/>
          <w:vertAlign w:val="subscript"/>
          <w:lang w:val="en-GB"/>
        </w:rPr>
        <w:t>2</w:t>
      </w:r>
      <w:r w:rsidRPr="00060D9F">
        <w:rPr>
          <w:rFonts w:ascii="Times New Roman" w:hAnsi="Times New Roman" w:cs="Times New Roman"/>
          <w:sz w:val="24"/>
          <w:szCs w:val="24"/>
          <w:lang w:val="en-GB"/>
        </w:rPr>
        <w:t>-IR) are not specified molecular identities that can be found in the central nervous system and many other organs such as heart and liver. The modulation of I</w:t>
      </w:r>
      <w:r w:rsidRPr="00060D9F">
        <w:rPr>
          <w:rFonts w:ascii="Times New Roman" w:hAnsi="Times New Roman" w:cs="Times New Roman"/>
          <w:sz w:val="24"/>
          <w:szCs w:val="24"/>
          <w:vertAlign w:val="subscript"/>
          <w:lang w:val="en-GB"/>
        </w:rPr>
        <w:t>2</w:t>
      </w:r>
      <w:r w:rsidRPr="00060D9F">
        <w:rPr>
          <w:rFonts w:ascii="Times New Roman" w:hAnsi="Times New Roman" w:cs="Times New Roman"/>
          <w:sz w:val="24"/>
          <w:szCs w:val="24"/>
          <w:lang w:val="en-GB"/>
        </w:rPr>
        <w:t xml:space="preserve">-IR by standard ligands evidenced their role in analgesia, inflammation, and human brain disorders, encompassing glial </w:t>
      </w:r>
      <w:proofErr w:type="spellStart"/>
      <w:r w:rsidRPr="00060D9F">
        <w:rPr>
          <w:rFonts w:ascii="Times New Roman" w:hAnsi="Times New Roman" w:cs="Times New Roman"/>
          <w:sz w:val="24"/>
          <w:szCs w:val="24"/>
          <w:lang w:val="en-GB"/>
        </w:rPr>
        <w:t>tumors</w:t>
      </w:r>
      <w:proofErr w:type="spellEnd"/>
      <w:r w:rsidRPr="00060D9F">
        <w:rPr>
          <w:rFonts w:ascii="Times New Roman" w:hAnsi="Times New Roman" w:cs="Times New Roman"/>
          <w:sz w:val="24"/>
          <w:szCs w:val="24"/>
          <w:lang w:val="en-GB"/>
        </w:rPr>
        <w:t>, depression, Alzheimer’s disease (AD) and Parkinson’s disease (PD), amongst others. The chemical structure of I</w:t>
      </w:r>
      <w:r w:rsidRPr="00060D9F">
        <w:rPr>
          <w:rFonts w:ascii="Times New Roman" w:hAnsi="Times New Roman" w:cs="Times New Roman"/>
          <w:sz w:val="24"/>
          <w:szCs w:val="24"/>
          <w:vertAlign w:val="subscript"/>
          <w:lang w:val="en-GB"/>
        </w:rPr>
        <w:t>2</w:t>
      </w:r>
      <w:r w:rsidRPr="00060D9F">
        <w:rPr>
          <w:rFonts w:ascii="Times New Roman" w:hAnsi="Times New Roman" w:cs="Times New Roman"/>
          <w:sz w:val="24"/>
          <w:szCs w:val="24"/>
          <w:lang w:val="en-GB"/>
        </w:rPr>
        <w:t xml:space="preserve">-IR ligands is restricted to 2-heterocyclic-2-imidazolines in the standards </w:t>
      </w:r>
      <w:proofErr w:type="spellStart"/>
      <w:r w:rsidRPr="00060D9F">
        <w:rPr>
          <w:rFonts w:ascii="Times New Roman" w:hAnsi="Times New Roman" w:cs="Times New Roman"/>
          <w:sz w:val="24"/>
          <w:szCs w:val="24"/>
          <w:lang w:val="en-GB"/>
        </w:rPr>
        <w:t>idazoxan</w:t>
      </w:r>
      <w:proofErr w:type="spellEnd"/>
      <w:r w:rsidRPr="00060D9F">
        <w:rPr>
          <w:rFonts w:ascii="Times New Roman" w:hAnsi="Times New Roman" w:cs="Times New Roman"/>
          <w:sz w:val="24"/>
          <w:szCs w:val="24"/>
          <w:lang w:val="en-GB"/>
        </w:rPr>
        <w:t xml:space="preserve">, </w:t>
      </w:r>
      <w:proofErr w:type="spellStart"/>
      <w:r w:rsidRPr="00060D9F">
        <w:rPr>
          <w:rFonts w:ascii="Times New Roman" w:hAnsi="Times New Roman" w:cs="Times New Roman"/>
          <w:sz w:val="24"/>
          <w:szCs w:val="24"/>
          <w:lang w:val="en-GB"/>
        </w:rPr>
        <w:t>tracizoline</w:t>
      </w:r>
      <w:proofErr w:type="spellEnd"/>
      <w:r w:rsidRPr="00060D9F">
        <w:rPr>
          <w:rFonts w:ascii="Times New Roman" w:hAnsi="Times New Roman" w:cs="Times New Roman"/>
          <w:sz w:val="24"/>
          <w:szCs w:val="24"/>
          <w:lang w:val="en-GB"/>
        </w:rPr>
        <w:t xml:space="preserve">, BU224, 2-BFI and BU99008 (clinical candidate, Phase I) or an N1-imidazole </w:t>
      </w:r>
    </w:p>
    <w:p w14:paraId="671C546A" w14:textId="4E7C7299" w:rsidR="00060D9F" w:rsidRDefault="00060D9F" w:rsidP="007F7A67">
      <w:pPr>
        <w:spacing w:line="480" w:lineRule="auto"/>
        <w:jc w:val="both"/>
        <w:rPr>
          <w:rFonts w:ascii="Times New Roman" w:hAnsi="Times New Roman" w:cs="Times New Roman"/>
          <w:sz w:val="24"/>
          <w:szCs w:val="24"/>
          <w:lang w:val="en-GB"/>
        </w:rPr>
      </w:pPr>
      <w:r w:rsidRPr="00060D9F">
        <w:rPr>
          <w:rFonts w:ascii="Times New Roman" w:hAnsi="Times New Roman" w:cs="Times New Roman"/>
          <w:sz w:val="24"/>
          <w:szCs w:val="24"/>
          <w:lang w:val="en-GB"/>
        </w:rPr>
        <w:lastRenderedPageBreak/>
        <w:t>heterocyclic scaffold in CR4056 (clinical candidate, Phase II). We have contributed to the disclosure of the pharmacological role of I</w:t>
      </w:r>
      <w:r w:rsidRPr="00060D9F">
        <w:rPr>
          <w:rFonts w:ascii="Times New Roman" w:hAnsi="Times New Roman" w:cs="Times New Roman"/>
          <w:sz w:val="24"/>
          <w:szCs w:val="24"/>
          <w:vertAlign w:val="subscript"/>
          <w:lang w:val="en-GB"/>
        </w:rPr>
        <w:t>2</w:t>
      </w:r>
      <w:r w:rsidRPr="00060D9F">
        <w:rPr>
          <w:rFonts w:ascii="Times New Roman" w:hAnsi="Times New Roman" w:cs="Times New Roman"/>
          <w:sz w:val="24"/>
          <w:szCs w:val="24"/>
          <w:lang w:val="en-GB"/>
        </w:rPr>
        <w:t>-IR by their modulation with structurally original I2-IR ligands and observing in vivo physiological responses and modifications of molecular AD-biomarkers in treated murine model animals [1,2,3]. Here we report a new family of bicyclic α-</w:t>
      </w:r>
      <w:proofErr w:type="spellStart"/>
      <w:r w:rsidRPr="00060D9F">
        <w:rPr>
          <w:rFonts w:ascii="Times New Roman" w:hAnsi="Times New Roman" w:cs="Times New Roman"/>
          <w:sz w:val="24"/>
          <w:szCs w:val="24"/>
          <w:lang w:val="en-GB"/>
        </w:rPr>
        <w:t>phosphoprolines</w:t>
      </w:r>
      <w:proofErr w:type="spellEnd"/>
      <w:r w:rsidRPr="00060D9F">
        <w:rPr>
          <w:rFonts w:ascii="Times New Roman" w:hAnsi="Times New Roman" w:cs="Times New Roman"/>
          <w:sz w:val="24"/>
          <w:szCs w:val="24"/>
          <w:lang w:val="en-GB"/>
        </w:rPr>
        <w:t xml:space="preserve"> that showed high affinity and selectivity upon I</w:t>
      </w:r>
      <w:r w:rsidRPr="00060D9F">
        <w:rPr>
          <w:rFonts w:ascii="Times New Roman" w:hAnsi="Times New Roman" w:cs="Times New Roman"/>
          <w:sz w:val="24"/>
          <w:szCs w:val="24"/>
          <w:vertAlign w:val="subscript"/>
          <w:lang w:val="en-GB"/>
        </w:rPr>
        <w:t>2</w:t>
      </w:r>
      <w:r w:rsidRPr="00060D9F">
        <w:rPr>
          <w:rFonts w:ascii="Times New Roman" w:hAnsi="Times New Roman" w:cs="Times New Roman"/>
          <w:sz w:val="24"/>
          <w:szCs w:val="24"/>
          <w:lang w:val="en-GB"/>
        </w:rPr>
        <w:t>-IR and good BBB permeation. We evaluated three selected new compounds in dopaminergic neurodegeneration and neuroinflammation cellular models. The good results led us to take the challenge to carry out the first study of I</w:t>
      </w:r>
      <w:r w:rsidRPr="00316496">
        <w:rPr>
          <w:rFonts w:ascii="Times New Roman" w:hAnsi="Times New Roman" w:cs="Times New Roman"/>
          <w:sz w:val="24"/>
          <w:szCs w:val="24"/>
          <w:vertAlign w:val="subscript"/>
          <w:lang w:val="en-GB"/>
        </w:rPr>
        <w:t>2</w:t>
      </w:r>
      <w:r w:rsidRPr="00060D9F">
        <w:rPr>
          <w:rFonts w:ascii="Times New Roman" w:hAnsi="Times New Roman" w:cs="Times New Roman"/>
          <w:sz w:val="24"/>
          <w:szCs w:val="24"/>
          <w:lang w:val="en-GB"/>
        </w:rPr>
        <w:t>-IR ligands in Caenorhabditis elegans as an in vivo AD model organism</w:t>
      </w:r>
      <w:r w:rsidR="00AA6C23">
        <w:rPr>
          <w:rFonts w:ascii="Times New Roman" w:hAnsi="Times New Roman" w:cs="Times New Roman"/>
          <w:sz w:val="24"/>
          <w:szCs w:val="24"/>
          <w:lang w:val="en-GB"/>
        </w:rPr>
        <w:t xml:space="preserve"> [4]</w:t>
      </w:r>
      <w:r w:rsidRPr="00060D9F">
        <w:rPr>
          <w:rFonts w:ascii="Times New Roman" w:hAnsi="Times New Roman" w:cs="Times New Roman"/>
          <w:sz w:val="24"/>
          <w:szCs w:val="24"/>
          <w:lang w:val="en-GB"/>
        </w:rPr>
        <w:t>.</w:t>
      </w:r>
    </w:p>
    <w:p w14:paraId="124BF67A" w14:textId="77777777" w:rsidR="00060D9F" w:rsidRPr="00060D9F" w:rsidRDefault="00060D9F" w:rsidP="00060D9F">
      <w:pPr>
        <w:spacing w:line="480" w:lineRule="auto"/>
        <w:ind w:firstLine="113"/>
        <w:jc w:val="both"/>
        <w:rPr>
          <w:rFonts w:ascii="Times New Roman" w:hAnsi="Times New Roman" w:cs="Times New Roman"/>
          <w:sz w:val="24"/>
          <w:szCs w:val="24"/>
          <w:lang w:val="en-GB"/>
        </w:rPr>
      </w:pPr>
    </w:p>
    <w:p w14:paraId="555C0E91" w14:textId="77777777" w:rsidR="00060D9F" w:rsidRPr="00060D9F" w:rsidRDefault="00060D9F" w:rsidP="00060D9F">
      <w:pPr>
        <w:jc w:val="both"/>
        <w:rPr>
          <w:rFonts w:ascii="Times New Roman" w:hAnsi="Times New Roman" w:cs="Times New Roman"/>
          <w:sz w:val="24"/>
          <w:szCs w:val="24"/>
          <w:lang w:val="en-GB"/>
        </w:rPr>
      </w:pPr>
      <w:r w:rsidRPr="00060D9F">
        <w:rPr>
          <w:rFonts w:ascii="Times New Roman" w:hAnsi="Times New Roman" w:cs="Times New Roman"/>
          <w:sz w:val="24"/>
          <w:szCs w:val="24"/>
          <w:lang w:val="en-GB"/>
        </w:rPr>
        <w:t>References:</w:t>
      </w:r>
    </w:p>
    <w:p w14:paraId="47A7B7DA" w14:textId="77777777" w:rsidR="00060D9F" w:rsidRPr="00060D9F" w:rsidRDefault="00060D9F" w:rsidP="00060D9F">
      <w:pPr>
        <w:jc w:val="both"/>
        <w:rPr>
          <w:rFonts w:ascii="Times New Roman" w:hAnsi="Times New Roman" w:cs="Times New Roman"/>
          <w:sz w:val="24"/>
          <w:szCs w:val="24"/>
          <w:lang w:val="en-GB"/>
        </w:rPr>
      </w:pPr>
      <w:r w:rsidRPr="00060D9F">
        <w:rPr>
          <w:rFonts w:ascii="Times New Roman" w:hAnsi="Times New Roman" w:cs="Times New Roman"/>
          <w:sz w:val="24"/>
          <w:szCs w:val="24"/>
          <w:lang w:val="en-GB"/>
        </w:rPr>
        <w:t xml:space="preserve">[1] </w:t>
      </w:r>
      <w:proofErr w:type="spellStart"/>
      <w:r w:rsidRPr="00060D9F">
        <w:rPr>
          <w:rFonts w:ascii="Times New Roman" w:hAnsi="Times New Roman" w:cs="Times New Roman"/>
          <w:sz w:val="24"/>
          <w:szCs w:val="24"/>
          <w:lang w:val="en-GB"/>
        </w:rPr>
        <w:t>Abás</w:t>
      </w:r>
      <w:proofErr w:type="spellEnd"/>
      <w:r w:rsidRPr="00060D9F">
        <w:rPr>
          <w:rFonts w:ascii="Times New Roman" w:hAnsi="Times New Roman" w:cs="Times New Roman"/>
          <w:sz w:val="24"/>
          <w:szCs w:val="24"/>
          <w:lang w:val="en-GB"/>
        </w:rPr>
        <w:t>, S., Rodríguez-</w:t>
      </w:r>
      <w:proofErr w:type="spellStart"/>
      <w:r w:rsidRPr="00060D9F">
        <w:rPr>
          <w:rFonts w:ascii="Times New Roman" w:hAnsi="Times New Roman" w:cs="Times New Roman"/>
          <w:sz w:val="24"/>
          <w:szCs w:val="24"/>
          <w:lang w:val="en-GB"/>
        </w:rPr>
        <w:t>Arévalo</w:t>
      </w:r>
      <w:proofErr w:type="spellEnd"/>
      <w:r w:rsidRPr="00060D9F">
        <w:rPr>
          <w:rFonts w:ascii="Times New Roman" w:hAnsi="Times New Roman" w:cs="Times New Roman"/>
          <w:sz w:val="24"/>
          <w:szCs w:val="24"/>
          <w:lang w:val="en-GB"/>
        </w:rPr>
        <w:t xml:space="preserve">, S., </w:t>
      </w:r>
      <w:proofErr w:type="spellStart"/>
      <w:r w:rsidRPr="00060D9F">
        <w:rPr>
          <w:rFonts w:ascii="Times New Roman" w:hAnsi="Times New Roman" w:cs="Times New Roman"/>
          <w:sz w:val="24"/>
          <w:szCs w:val="24"/>
          <w:lang w:val="en-GB"/>
        </w:rPr>
        <w:t>Bagán</w:t>
      </w:r>
      <w:proofErr w:type="spellEnd"/>
      <w:r w:rsidRPr="00060D9F">
        <w:rPr>
          <w:rFonts w:ascii="Times New Roman" w:hAnsi="Times New Roman" w:cs="Times New Roman"/>
          <w:sz w:val="24"/>
          <w:szCs w:val="24"/>
          <w:lang w:val="en-GB"/>
        </w:rPr>
        <w:t xml:space="preserve">, A., </w:t>
      </w:r>
      <w:proofErr w:type="spellStart"/>
      <w:r w:rsidRPr="00060D9F">
        <w:rPr>
          <w:rFonts w:ascii="Times New Roman" w:hAnsi="Times New Roman" w:cs="Times New Roman"/>
          <w:sz w:val="24"/>
          <w:szCs w:val="24"/>
          <w:lang w:val="en-GB"/>
        </w:rPr>
        <w:t>Griñán</w:t>
      </w:r>
      <w:proofErr w:type="spellEnd"/>
      <w:r w:rsidRPr="00060D9F">
        <w:rPr>
          <w:rFonts w:ascii="Times New Roman" w:hAnsi="Times New Roman" w:cs="Times New Roman"/>
          <w:sz w:val="24"/>
          <w:szCs w:val="24"/>
          <w:lang w:val="en-GB"/>
        </w:rPr>
        <w:t xml:space="preserve">-Ferré, C., Vasilopoulou, F., Brocos-Mosquera, I., Muguruza, C., Pérez, B., Molins, E., Luque, F. J., Pérez-Lozano, P., de Jonghe, S., </w:t>
      </w:r>
      <w:proofErr w:type="spellStart"/>
      <w:r w:rsidRPr="00060D9F">
        <w:rPr>
          <w:rFonts w:ascii="Times New Roman" w:hAnsi="Times New Roman" w:cs="Times New Roman"/>
          <w:sz w:val="24"/>
          <w:szCs w:val="24"/>
          <w:lang w:val="en-GB"/>
        </w:rPr>
        <w:t>Daelemans</w:t>
      </w:r>
      <w:proofErr w:type="spellEnd"/>
      <w:r w:rsidRPr="00060D9F">
        <w:rPr>
          <w:rFonts w:ascii="Times New Roman" w:hAnsi="Times New Roman" w:cs="Times New Roman"/>
          <w:sz w:val="24"/>
          <w:szCs w:val="24"/>
          <w:lang w:val="en-GB"/>
        </w:rPr>
        <w:t xml:space="preserve">, D., </w:t>
      </w:r>
      <w:proofErr w:type="spellStart"/>
      <w:r w:rsidRPr="00060D9F">
        <w:rPr>
          <w:rFonts w:ascii="Times New Roman" w:hAnsi="Times New Roman" w:cs="Times New Roman"/>
          <w:sz w:val="24"/>
          <w:szCs w:val="24"/>
          <w:lang w:val="en-GB"/>
        </w:rPr>
        <w:t>Naesens</w:t>
      </w:r>
      <w:proofErr w:type="spellEnd"/>
      <w:r w:rsidRPr="00060D9F">
        <w:rPr>
          <w:rFonts w:ascii="Times New Roman" w:hAnsi="Times New Roman" w:cs="Times New Roman"/>
          <w:sz w:val="24"/>
          <w:szCs w:val="24"/>
          <w:lang w:val="en-GB"/>
        </w:rPr>
        <w:t xml:space="preserve">, L., Brea J., Loza, M. I., Hernández-Hernández, E., García-Sevilla, J. A., García-Fuster, M. J., Radan, M., </w:t>
      </w:r>
      <w:proofErr w:type="spellStart"/>
      <w:r w:rsidRPr="00060D9F">
        <w:rPr>
          <w:rFonts w:ascii="Times New Roman" w:hAnsi="Times New Roman" w:cs="Times New Roman"/>
          <w:sz w:val="24"/>
          <w:szCs w:val="24"/>
          <w:lang w:val="en-GB"/>
        </w:rPr>
        <w:t>Djikic</w:t>
      </w:r>
      <w:proofErr w:type="spellEnd"/>
      <w:r w:rsidRPr="00060D9F">
        <w:rPr>
          <w:rFonts w:ascii="Times New Roman" w:hAnsi="Times New Roman" w:cs="Times New Roman"/>
          <w:sz w:val="24"/>
          <w:szCs w:val="24"/>
          <w:lang w:val="en-GB"/>
        </w:rPr>
        <w:t xml:space="preserve">, T., Nikolic, K., </w:t>
      </w:r>
      <w:proofErr w:type="spellStart"/>
      <w:r w:rsidRPr="00060D9F">
        <w:rPr>
          <w:rFonts w:ascii="Times New Roman" w:hAnsi="Times New Roman" w:cs="Times New Roman"/>
          <w:sz w:val="24"/>
          <w:szCs w:val="24"/>
          <w:lang w:val="en-GB"/>
        </w:rPr>
        <w:t>Pallàs</w:t>
      </w:r>
      <w:proofErr w:type="spellEnd"/>
      <w:r w:rsidRPr="00060D9F">
        <w:rPr>
          <w:rFonts w:ascii="Times New Roman" w:hAnsi="Times New Roman" w:cs="Times New Roman"/>
          <w:sz w:val="24"/>
          <w:szCs w:val="24"/>
          <w:lang w:val="en-GB"/>
        </w:rPr>
        <w:t>, M., Callado, L. F., Escolano, C., J. Med. Chem., 2020, 7, 3610-3633.</w:t>
      </w:r>
    </w:p>
    <w:p w14:paraId="0845049C" w14:textId="77777777" w:rsidR="00060D9F" w:rsidRPr="007F7A67" w:rsidRDefault="00060D9F" w:rsidP="00060D9F">
      <w:pPr>
        <w:jc w:val="both"/>
        <w:rPr>
          <w:rFonts w:ascii="Times New Roman" w:hAnsi="Times New Roman" w:cs="Times New Roman"/>
          <w:sz w:val="24"/>
          <w:szCs w:val="24"/>
          <w:lang w:val="en-GB"/>
        </w:rPr>
      </w:pPr>
      <w:r w:rsidRPr="007F7A67">
        <w:rPr>
          <w:rFonts w:ascii="Times New Roman" w:hAnsi="Times New Roman" w:cs="Times New Roman"/>
          <w:sz w:val="24"/>
          <w:szCs w:val="24"/>
          <w:lang w:val="en-GB"/>
        </w:rPr>
        <w:t xml:space="preserve">[2] F. Vasilopoulou, C. </w:t>
      </w:r>
      <w:proofErr w:type="spellStart"/>
      <w:r w:rsidRPr="007F7A67">
        <w:rPr>
          <w:rFonts w:ascii="Times New Roman" w:hAnsi="Times New Roman" w:cs="Times New Roman"/>
          <w:sz w:val="24"/>
          <w:szCs w:val="24"/>
          <w:lang w:val="en-GB"/>
        </w:rPr>
        <w:t>Griñán</w:t>
      </w:r>
      <w:proofErr w:type="spellEnd"/>
      <w:r w:rsidRPr="007F7A67">
        <w:rPr>
          <w:rFonts w:ascii="Times New Roman" w:hAnsi="Times New Roman" w:cs="Times New Roman"/>
          <w:sz w:val="24"/>
          <w:szCs w:val="24"/>
          <w:lang w:val="en-GB"/>
        </w:rPr>
        <w:t>-Ferré, S. Rodríguez-</w:t>
      </w:r>
      <w:proofErr w:type="spellStart"/>
      <w:r w:rsidRPr="007F7A67">
        <w:rPr>
          <w:rFonts w:ascii="Times New Roman" w:hAnsi="Times New Roman" w:cs="Times New Roman"/>
          <w:sz w:val="24"/>
          <w:szCs w:val="24"/>
          <w:lang w:val="en-GB"/>
        </w:rPr>
        <w:t>Arévalo</w:t>
      </w:r>
      <w:proofErr w:type="spellEnd"/>
      <w:r w:rsidRPr="007F7A67">
        <w:rPr>
          <w:rFonts w:ascii="Times New Roman" w:hAnsi="Times New Roman" w:cs="Times New Roman"/>
          <w:sz w:val="24"/>
          <w:szCs w:val="24"/>
          <w:lang w:val="en-GB"/>
        </w:rPr>
        <w:t xml:space="preserve">, A. </w:t>
      </w:r>
      <w:proofErr w:type="spellStart"/>
      <w:r w:rsidRPr="007F7A67">
        <w:rPr>
          <w:rFonts w:ascii="Times New Roman" w:hAnsi="Times New Roman" w:cs="Times New Roman"/>
          <w:sz w:val="24"/>
          <w:szCs w:val="24"/>
          <w:lang w:val="en-GB"/>
        </w:rPr>
        <w:t>Bagán</w:t>
      </w:r>
      <w:proofErr w:type="spellEnd"/>
      <w:r w:rsidRPr="007F7A67">
        <w:rPr>
          <w:rFonts w:ascii="Times New Roman" w:hAnsi="Times New Roman" w:cs="Times New Roman"/>
          <w:sz w:val="24"/>
          <w:szCs w:val="24"/>
          <w:lang w:val="en-GB"/>
        </w:rPr>
        <w:t xml:space="preserve">, S. </w:t>
      </w:r>
      <w:proofErr w:type="spellStart"/>
      <w:r w:rsidRPr="007F7A67">
        <w:rPr>
          <w:rFonts w:ascii="Times New Roman" w:hAnsi="Times New Roman" w:cs="Times New Roman"/>
          <w:sz w:val="24"/>
          <w:szCs w:val="24"/>
          <w:lang w:val="en-GB"/>
        </w:rPr>
        <w:t>Abás</w:t>
      </w:r>
      <w:proofErr w:type="spellEnd"/>
      <w:r w:rsidRPr="007F7A67">
        <w:rPr>
          <w:rFonts w:ascii="Times New Roman" w:hAnsi="Times New Roman" w:cs="Times New Roman"/>
          <w:sz w:val="24"/>
          <w:szCs w:val="24"/>
          <w:lang w:val="en-GB"/>
        </w:rPr>
        <w:t xml:space="preserve">, C. Escolano, M. </w:t>
      </w:r>
      <w:proofErr w:type="spellStart"/>
      <w:r w:rsidRPr="007F7A67">
        <w:rPr>
          <w:rFonts w:ascii="Times New Roman" w:hAnsi="Times New Roman" w:cs="Times New Roman"/>
          <w:sz w:val="24"/>
          <w:szCs w:val="24"/>
          <w:lang w:val="en-GB"/>
        </w:rPr>
        <w:t>Pallàs</w:t>
      </w:r>
      <w:proofErr w:type="spellEnd"/>
      <w:r w:rsidRPr="007F7A67">
        <w:rPr>
          <w:rFonts w:ascii="Times New Roman" w:hAnsi="Times New Roman" w:cs="Times New Roman"/>
          <w:sz w:val="24"/>
          <w:szCs w:val="24"/>
          <w:lang w:val="en-GB"/>
        </w:rPr>
        <w:t xml:space="preserve">, </w:t>
      </w:r>
      <w:proofErr w:type="spellStart"/>
      <w:r w:rsidRPr="007F7A67">
        <w:rPr>
          <w:rFonts w:ascii="Times New Roman" w:hAnsi="Times New Roman" w:cs="Times New Roman"/>
          <w:sz w:val="24"/>
          <w:szCs w:val="24"/>
          <w:lang w:val="en-GB"/>
        </w:rPr>
        <w:t>GeroScience</w:t>
      </w:r>
      <w:proofErr w:type="spellEnd"/>
      <w:r w:rsidRPr="007F7A67">
        <w:rPr>
          <w:rFonts w:ascii="Times New Roman" w:hAnsi="Times New Roman" w:cs="Times New Roman"/>
          <w:sz w:val="24"/>
          <w:szCs w:val="24"/>
          <w:lang w:val="en-GB"/>
        </w:rPr>
        <w:t>, 2020, 43, 965-983.</w:t>
      </w:r>
    </w:p>
    <w:p w14:paraId="71003530" w14:textId="5ACE830D" w:rsidR="00055B56" w:rsidRDefault="00060D9F" w:rsidP="00060D9F">
      <w:pPr>
        <w:jc w:val="both"/>
        <w:rPr>
          <w:rFonts w:ascii="Times New Roman" w:hAnsi="Times New Roman" w:cs="Times New Roman"/>
          <w:sz w:val="24"/>
          <w:szCs w:val="24"/>
          <w:lang w:val="es-ES"/>
        </w:rPr>
      </w:pPr>
      <w:r w:rsidRPr="00060D9F">
        <w:rPr>
          <w:rFonts w:ascii="Times New Roman" w:hAnsi="Times New Roman" w:cs="Times New Roman"/>
          <w:sz w:val="24"/>
          <w:szCs w:val="24"/>
          <w:lang w:val="es-ES"/>
        </w:rPr>
        <w:t xml:space="preserve">[3] A. </w:t>
      </w:r>
      <w:proofErr w:type="spellStart"/>
      <w:r w:rsidRPr="00060D9F">
        <w:rPr>
          <w:rFonts w:ascii="Times New Roman" w:hAnsi="Times New Roman" w:cs="Times New Roman"/>
          <w:sz w:val="24"/>
          <w:szCs w:val="24"/>
          <w:lang w:val="es-ES"/>
        </w:rPr>
        <w:t>Bagán</w:t>
      </w:r>
      <w:proofErr w:type="spellEnd"/>
      <w:r w:rsidRPr="00060D9F">
        <w:rPr>
          <w:rFonts w:ascii="Times New Roman" w:hAnsi="Times New Roman" w:cs="Times New Roman"/>
          <w:sz w:val="24"/>
          <w:szCs w:val="24"/>
          <w:lang w:val="es-ES"/>
        </w:rPr>
        <w:t xml:space="preserve">, J. A. Morales-García, C. </w:t>
      </w:r>
      <w:proofErr w:type="spellStart"/>
      <w:r w:rsidRPr="00060D9F">
        <w:rPr>
          <w:rFonts w:ascii="Times New Roman" w:hAnsi="Times New Roman" w:cs="Times New Roman"/>
          <w:sz w:val="24"/>
          <w:szCs w:val="24"/>
          <w:lang w:val="es-ES"/>
        </w:rPr>
        <w:t>Griñán</w:t>
      </w:r>
      <w:proofErr w:type="spellEnd"/>
      <w:r w:rsidRPr="00060D9F">
        <w:rPr>
          <w:rFonts w:ascii="Times New Roman" w:hAnsi="Times New Roman" w:cs="Times New Roman"/>
          <w:sz w:val="24"/>
          <w:szCs w:val="24"/>
          <w:lang w:val="es-ES"/>
        </w:rPr>
        <w:t xml:space="preserve">-Ferré, C. Díaz, J. P. Palacio, M. C. Ramos, F. Vicente, B. Pérez, J. Brea, M. I. Loza, M. </w:t>
      </w:r>
      <w:proofErr w:type="spellStart"/>
      <w:r w:rsidRPr="00060D9F">
        <w:rPr>
          <w:rFonts w:ascii="Times New Roman" w:hAnsi="Times New Roman" w:cs="Times New Roman"/>
          <w:sz w:val="24"/>
          <w:szCs w:val="24"/>
          <w:lang w:val="es-ES"/>
        </w:rPr>
        <w:t>Pallàs</w:t>
      </w:r>
      <w:proofErr w:type="spellEnd"/>
      <w:r w:rsidRPr="00060D9F">
        <w:rPr>
          <w:rFonts w:ascii="Times New Roman" w:hAnsi="Times New Roman" w:cs="Times New Roman"/>
          <w:sz w:val="24"/>
          <w:szCs w:val="24"/>
          <w:lang w:val="es-ES"/>
        </w:rPr>
        <w:t xml:space="preserve">, C. Escolano, </w:t>
      </w:r>
      <w:proofErr w:type="spellStart"/>
      <w:r w:rsidRPr="00060D9F">
        <w:rPr>
          <w:rFonts w:ascii="Times New Roman" w:hAnsi="Times New Roman" w:cs="Times New Roman"/>
          <w:sz w:val="24"/>
          <w:szCs w:val="24"/>
          <w:lang w:val="es-ES"/>
        </w:rPr>
        <w:t>Int</w:t>
      </w:r>
      <w:proofErr w:type="spellEnd"/>
      <w:r w:rsidRPr="00060D9F">
        <w:rPr>
          <w:rFonts w:ascii="Times New Roman" w:hAnsi="Times New Roman" w:cs="Times New Roman"/>
          <w:sz w:val="24"/>
          <w:szCs w:val="24"/>
          <w:lang w:val="es-ES"/>
        </w:rPr>
        <w:t xml:space="preserve">. J. Mol. </w:t>
      </w:r>
      <w:proofErr w:type="spellStart"/>
      <w:r w:rsidRPr="00060D9F">
        <w:rPr>
          <w:rFonts w:ascii="Times New Roman" w:hAnsi="Times New Roman" w:cs="Times New Roman"/>
          <w:sz w:val="24"/>
          <w:szCs w:val="24"/>
          <w:lang w:val="es-ES"/>
        </w:rPr>
        <w:t>Sci</w:t>
      </w:r>
      <w:proofErr w:type="spellEnd"/>
      <w:r w:rsidRPr="00060D9F">
        <w:rPr>
          <w:rFonts w:ascii="Times New Roman" w:hAnsi="Times New Roman" w:cs="Times New Roman"/>
          <w:sz w:val="24"/>
          <w:szCs w:val="24"/>
          <w:lang w:val="es-ES"/>
        </w:rPr>
        <w:t>., 2022, 23, 5408.</w:t>
      </w:r>
    </w:p>
    <w:p w14:paraId="44959AC7" w14:textId="5CD11F97" w:rsidR="00A70530" w:rsidRPr="00060D9F" w:rsidRDefault="00A70530" w:rsidP="00B926AA">
      <w:pPr>
        <w:jc w:val="both"/>
        <w:rPr>
          <w:rFonts w:ascii="Times New Roman" w:hAnsi="Times New Roman" w:cs="Times New Roman"/>
          <w:sz w:val="24"/>
          <w:szCs w:val="24"/>
          <w:lang w:val="es-ES"/>
        </w:rPr>
      </w:pPr>
      <w:r>
        <w:rPr>
          <w:rFonts w:ascii="Times New Roman" w:hAnsi="Times New Roman" w:cs="Times New Roman"/>
          <w:sz w:val="24"/>
          <w:szCs w:val="24"/>
          <w:lang w:val="es-ES"/>
        </w:rPr>
        <w:t>[4]</w:t>
      </w:r>
      <w:r w:rsidR="00B926AA">
        <w:rPr>
          <w:rFonts w:ascii="Times New Roman" w:hAnsi="Times New Roman" w:cs="Times New Roman"/>
          <w:sz w:val="24"/>
          <w:szCs w:val="24"/>
          <w:lang w:val="es-ES"/>
        </w:rPr>
        <w:t xml:space="preserve"> </w:t>
      </w:r>
      <w:r w:rsidR="00B926AA" w:rsidRPr="00B926AA">
        <w:rPr>
          <w:rFonts w:ascii="Times New Roman" w:hAnsi="Times New Roman" w:cs="Times New Roman"/>
          <w:sz w:val="24"/>
          <w:szCs w:val="24"/>
          <w:lang w:val="es-ES"/>
        </w:rPr>
        <w:t>A</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w:t>
      </w:r>
      <w:proofErr w:type="spellStart"/>
      <w:r w:rsidR="00B926AA" w:rsidRPr="00B926AA">
        <w:rPr>
          <w:rFonts w:ascii="Times New Roman" w:hAnsi="Times New Roman" w:cs="Times New Roman"/>
          <w:sz w:val="24"/>
          <w:szCs w:val="24"/>
          <w:lang w:val="es-ES"/>
        </w:rPr>
        <w:t>Bagán</w:t>
      </w:r>
      <w:proofErr w:type="spellEnd"/>
      <w:r w:rsidR="00B926AA" w:rsidRPr="00B926AA">
        <w:rPr>
          <w:rFonts w:ascii="Times New Roman" w:hAnsi="Times New Roman" w:cs="Times New Roman"/>
          <w:sz w:val="24"/>
          <w:szCs w:val="24"/>
          <w:lang w:val="es-ES"/>
        </w:rPr>
        <w:t>, S</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Abás, J</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w:t>
      </w:r>
      <w:proofErr w:type="spellStart"/>
      <w:r w:rsidR="00B926AA" w:rsidRPr="00B926AA">
        <w:rPr>
          <w:rFonts w:ascii="Times New Roman" w:hAnsi="Times New Roman" w:cs="Times New Roman"/>
          <w:sz w:val="24"/>
          <w:szCs w:val="24"/>
          <w:lang w:val="es-ES"/>
        </w:rPr>
        <w:t>Palà</w:t>
      </w:r>
      <w:proofErr w:type="spellEnd"/>
      <w:r w:rsidR="00B926AA" w:rsidRPr="00B926AA">
        <w:rPr>
          <w:rFonts w:ascii="Times New Roman" w:hAnsi="Times New Roman" w:cs="Times New Roman"/>
          <w:sz w:val="24"/>
          <w:szCs w:val="24"/>
          <w:lang w:val="es-ES"/>
        </w:rPr>
        <w:t>-Pujadas, A</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Irisarri, C</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w:t>
      </w:r>
      <w:proofErr w:type="spellStart"/>
      <w:r w:rsidR="00B926AA" w:rsidRPr="00B926AA">
        <w:rPr>
          <w:rFonts w:ascii="Times New Roman" w:hAnsi="Times New Roman" w:cs="Times New Roman"/>
          <w:sz w:val="24"/>
          <w:szCs w:val="24"/>
          <w:lang w:val="es-ES"/>
        </w:rPr>
        <w:t>Griñán</w:t>
      </w:r>
      <w:proofErr w:type="spellEnd"/>
      <w:r w:rsidR="00B926AA" w:rsidRPr="00B926AA">
        <w:rPr>
          <w:rFonts w:ascii="Times New Roman" w:hAnsi="Times New Roman" w:cs="Times New Roman"/>
          <w:sz w:val="24"/>
          <w:szCs w:val="24"/>
          <w:lang w:val="es-ES"/>
        </w:rPr>
        <w:t>-Ferré, M</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w:t>
      </w:r>
      <w:proofErr w:type="spellStart"/>
      <w:r w:rsidR="00B926AA" w:rsidRPr="00B926AA">
        <w:rPr>
          <w:rFonts w:ascii="Times New Roman" w:hAnsi="Times New Roman" w:cs="Times New Roman"/>
          <w:sz w:val="24"/>
          <w:szCs w:val="24"/>
          <w:lang w:val="es-ES"/>
        </w:rPr>
        <w:t>Pallàs</w:t>
      </w:r>
      <w:proofErr w:type="spellEnd"/>
      <w:r w:rsidR="00B926AA" w:rsidRPr="00B926AA">
        <w:rPr>
          <w:rFonts w:ascii="Times New Roman" w:hAnsi="Times New Roman" w:cs="Times New Roman"/>
          <w:sz w:val="24"/>
          <w:szCs w:val="24"/>
          <w:lang w:val="es-ES"/>
        </w:rPr>
        <w:t>, I</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w:t>
      </w:r>
      <w:proofErr w:type="spellStart"/>
      <w:r w:rsidR="00B926AA" w:rsidRPr="00B926AA">
        <w:rPr>
          <w:rFonts w:ascii="Times New Roman" w:hAnsi="Times New Roman" w:cs="Times New Roman"/>
          <w:sz w:val="24"/>
          <w:szCs w:val="24"/>
          <w:lang w:val="es-ES"/>
        </w:rPr>
        <w:t>Muneta</w:t>
      </w:r>
      <w:proofErr w:type="spellEnd"/>
      <w:r w:rsidR="00B926AA" w:rsidRPr="00B926AA">
        <w:rPr>
          <w:rFonts w:ascii="Times New Roman" w:hAnsi="Times New Roman" w:cs="Times New Roman"/>
          <w:sz w:val="24"/>
          <w:szCs w:val="24"/>
          <w:lang w:val="es-ES"/>
        </w:rPr>
        <w:t>-Arrate, C</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Muguruza, L</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F. Callado, B</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Pérez, E</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Molins, J</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Á. Morales-García, C</w:t>
      </w:r>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xml:space="preserve"> Escolano,</w:t>
      </w:r>
      <w:r w:rsidR="00B926AA">
        <w:rPr>
          <w:rFonts w:ascii="Times New Roman" w:hAnsi="Times New Roman" w:cs="Times New Roman"/>
          <w:sz w:val="24"/>
          <w:szCs w:val="24"/>
          <w:lang w:val="es-ES"/>
        </w:rPr>
        <w:t xml:space="preserve"> </w:t>
      </w:r>
      <w:proofErr w:type="spellStart"/>
      <w:r w:rsidR="00B926AA" w:rsidRPr="00B926AA">
        <w:rPr>
          <w:rFonts w:ascii="Times New Roman" w:hAnsi="Times New Roman" w:cs="Times New Roman"/>
          <w:sz w:val="24"/>
          <w:szCs w:val="24"/>
          <w:lang w:val="es-ES"/>
        </w:rPr>
        <w:t>Bioorg</w:t>
      </w:r>
      <w:proofErr w:type="spellEnd"/>
      <w:r w:rsidR="00B926AA">
        <w:rPr>
          <w:rFonts w:ascii="Times New Roman" w:hAnsi="Times New Roman" w:cs="Times New Roman"/>
          <w:sz w:val="24"/>
          <w:szCs w:val="24"/>
          <w:lang w:val="es-ES"/>
        </w:rPr>
        <w:t xml:space="preserve">. </w:t>
      </w:r>
      <w:proofErr w:type="spellStart"/>
      <w:r w:rsidR="00B926AA" w:rsidRPr="00B926AA">
        <w:rPr>
          <w:rFonts w:ascii="Times New Roman" w:hAnsi="Times New Roman" w:cs="Times New Roman"/>
          <w:sz w:val="24"/>
          <w:szCs w:val="24"/>
          <w:lang w:val="es-ES"/>
        </w:rPr>
        <w:t>Chem</w:t>
      </w:r>
      <w:proofErr w:type="spellEnd"/>
      <w:r w:rsidR="00B926AA">
        <w:rPr>
          <w:rFonts w:ascii="Times New Roman" w:hAnsi="Times New Roman" w:cs="Times New Roman"/>
          <w:sz w:val="24"/>
          <w:szCs w:val="24"/>
          <w:lang w:val="es-ES"/>
        </w:rPr>
        <w:t>.</w:t>
      </w:r>
      <w:r w:rsidR="00B926AA" w:rsidRPr="00B926AA">
        <w:rPr>
          <w:rFonts w:ascii="Times New Roman" w:hAnsi="Times New Roman" w:cs="Times New Roman"/>
          <w:sz w:val="24"/>
          <w:szCs w:val="24"/>
          <w:lang w:val="es-ES"/>
        </w:rPr>
        <w:t>, 2024,</w:t>
      </w:r>
      <w:r w:rsidR="00B926AA">
        <w:rPr>
          <w:rFonts w:ascii="Times New Roman" w:hAnsi="Times New Roman" w:cs="Times New Roman"/>
          <w:sz w:val="24"/>
          <w:szCs w:val="24"/>
          <w:lang w:val="es-ES"/>
        </w:rPr>
        <w:t xml:space="preserve"> </w:t>
      </w:r>
      <w:r w:rsidR="00B926AA" w:rsidRPr="00B926AA">
        <w:rPr>
          <w:rFonts w:ascii="Times New Roman" w:hAnsi="Times New Roman" w:cs="Times New Roman"/>
          <w:sz w:val="24"/>
          <w:szCs w:val="24"/>
          <w:lang w:val="es-ES"/>
        </w:rPr>
        <w:t>142,</w:t>
      </w:r>
      <w:r w:rsidR="00B926AA">
        <w:rPr>
          <w:rFonts w:ascii="Times New Roman" w:hAnsi="Times New Roman" w:cs="Times New Roman"/>
          <w:sz w:val="24"/>
          <w:szCs w:val="24"/>
          <w:lang w:val="es-ES"/>
        </w:rPr>
        <w:t xml:space="preserve"> </w:t>
      </w:r>
      <w:r w:rsidR="00B926AA" w:rsidRPr="00B926AA">
        <w:rPr>
          <w:rFonts w:ascii="Times New Roman" w:hAnsi="Times New Roman" w:cs="Times New Roman"/>
          <w:sz w:val="24"/>
          <w:szCs w:val="24"/>
          <w:lang w:val="es-ES"/>
        </w:rPr>
        <w:t>106935</w:t>
      </w:r>
      <w:r w:rsidR="00B926AA">
        <w:rPr>
          <w:rFonts w:ascii="Times New Roman" w:hAnsi="Times New Roman" w:cs="Times New Roman"/>
          <w:sz w:val="24"/>
          <w:szCs w:val="24"/>
          <w:lang w:val="es-ES"/>
        </w:rPr>
        <w:t>.</w:t>
      </w:r>
    </w:p>
    <w:sectPr w:rsidR="00A70530" w:rsidRPr="00060D9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5883" w14:textId="77777777" w:rsidR="00D82E3C" w:rsidRDefault="00D82E3C" w:rsidP="007F7A67">
      <w:pPr>
        <w:spacing w:after="0" w:line="240" w:lineRule="auto"/>
      </w:pPr>
      <w:r>
        <w:separator/>
      </w:r>
    </w:p>
  </w:endnote>
  <w:endnote w:type="continuationSeparator" w:id="0">
    <w:p w14:paraId="45413D18" w14:textId="77777777" w:rsidR="00D82E3C" w:rsidRDefault="00D82E3C" w:rsidP="007F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131C" w14:textId="77777777" w:rsidR="00D82E3C" w:rsidRDefault="00D82E3C" w:rsidP="007F7A67">
      <w:pPr>
        <w:spacing w:after="0" w:line="240" w:lineRule="auto"/>
      </w:pPr>
      <w:r>
        <w:separator/>
      </w:r>
    </w:p>
  </w:footnote>
  <w:footnote w:type="continuationSeparator" w:id="0">
    <w:p w14:paraId="1245BCB1" w14:textId="77777777" w:rsidR="00D82E3C" w:rsidRDefault="00D82E3C" w:rsidP="007F7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98A4" w14:textId="1E7AA1AC" w:rsidR="007F7A67" w:rsidRPr="007F7A67" w:rsidRDefault="007F7A67" w:rsidP="007F7A67">
    <w:pPr>
      <w:pStyle w:val="Encabezado"/>
      <w:rPr>
        <w:lang w:val="en-GB"/>
      </w:rPr>
    </w:pPr>
    <w:r w:rsidRPr="007F7A67">
      <w:rPr>
        <w:rFonts w:ascii="Aptos" w:hAnsi="Aptos"/>
        <w:color w:val="000000"/>
        <w:bdr w:val="none" w:sz="0" w:space="0" w:color="auto" w:frame="1"/>
        <w:shd w:val="clear" w:color="auto" w:fill="FFFFFF"/>
        <w:lang w:val="en-GB"/>
      </w:rPr>
      <w:t>XV Spanish Drug Discovery Network Meeting</w:t>
    </w:r>
    <w:r>
      <w:rPr>
        <w:rFonts w:ascii="Aptos" w:hAnsi="Aptos"/>
        <w:color w:val="000000"/>
        <w:bdr w:val="none" w:sz="0" w:space="0" w:color="auto" w:frame="1"/>
        <w:shd w:val="clear" w:color="auto" w:fill="FFFFFF"/>
        <w:lang w:val="en-GB"/>
      </w:rPr>
      <w:t xml:space="preserve">                                                    </w:t>
    </w:r>
    <w:r>
      <w:rPr>
        <w:noProof/>
      </w:rPr>
      <w:drawing>
        <wp:inline distT="0" distB="0" distL="0" distR="0" wp14:anchorId="3B6CE6F1" wp14:editId="279E1424">
          <wp:extent cx="1981200" cy="322171"/>
          <wp:effectExtent l="0" t="0" r="0" b="1905"/>
          <wp:docPr id="1638545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818" cy="3357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56"/>
    <w:rsid w:val="00030B25"/>
    <w:rsid w:val="00055B56"/>
    <w:rsid w:val="00060D9F"/>
    <w:rsid w:val="00316496"/>
    <w:rsid w:val="00377E0B"/>
    <w:rsid w:val="007F7A67"/>
    <w:rsid w:val="009142A5"/>
    <w:rsid w:val="00A70530"/>
    <w:rsid w:val="00AA6C23"/>
    <w:rsid w:val="00B926AA"/>
    <w:rsid w:val="00C6653C"/>
    <w:rsid w:val="00D82E3C"/>
    <w:rsid w:val="00DF1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D779"/>
  <w15:chartTrackingRefBased/>
  <w15:docId w15:val="{5049EF07-0250-4122-894C-E68358C8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3authornames">
    <w:name w:val="MDPI_1.3_authornames"/>
    <w:basedOn w:val="Normal"/>
    <w:next w:val="Normal"/>
    <w:qFormat/>
    <w:rsid w:val="00C6653C"/>
    <w:pPr>
      <w:adjustRightInd w:val="0"/>
      <w:snapToGrid w:val="0"/>
      <w:spacing w:after="120" w:line="260" w:lineRule="atLeast"/>
    </w:pPr>
    <w:rPr>
      <w:rFonts w:ascii="Palatino Linotype" w:eastAsia="Times New Roman" w:hAnsi="Palatino Linotype" w:cs="Times New Roman"/>
      <w:b/>
      <w:color w:val="000000"/>
      <w:kern w:val="0"/>
      <w:sz w:val="20"/>
      <w:lang w:val="en-US" w:eastAsia="de-DE" w:bidi="en-US"/>
      <w14:ligatures w14:val="none"/>
    </w:rPr>
  </w:style>
  <w:style w:type="paragraph" w:customStyle="1" w:styleId="MDPI16affiliation">
    <w:name w:val="MDPI_1.6_affiliation"/>
    <w:basedOn w:val="Normal"/>
    <w:qFormat/>
    <w:rsid w:val="00C6653C"/>
    <w:pPr>
      <w:adjustRightInd w:val="0"/>
      <w:snapToGrid w:val="0"/>
      <w:spacing w:after="0" w:line="200" w:lineRule="atLeast"/>
      <w:ind w:left="311" w:hanging="198"/>
    </w:pPr>
    <w:rPr>
      <w:rFonts w:ascii="Palatino Linotype" w:eastAsia="Times New Roman" w:hAnsi="Palatino Linotype" w:cs="Times New Roman"/>
      <w:color w:val="000000"/>
      <w:kern w:val="0"/>
      <w:sz w:val="18"/>
      <w:szCs w:val="18"/>
      <w:lang w:val="en-US" w:eastAsia="de-DE" w:bidi="en-US"/>
      <w14:ligatures w14:val="none"/>
    </w:rPr>
  </w:style>
  <w:style w:type="paragraph" w:styleId="Encabezado">
    <w:name w:val="header"/>
    <w:basedOn w:val="Normal"/>
    <w:link w:val="EncabezadoCar"/>
    <w:uiPriority w:val="99"/>
    <w:unhideWhenUsed/>
    <w:rsid w:val="007F7A67"/>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7F7A67"/>
  </w:style>
  <w:style w:type="paragraph" w:styleId="Piedepgina">
    <w:name w:val="footer"/>
    <w:basedOn w:val="Normal"/>
    <w:link w:val="PiedepginaCar"/>
    <w:uiPriority w:val="99"/>
    <w:unhideWhenUsed/>
    <w:rsid w:val="007F7A67"/>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7F7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7170">
      <w:bodyDiv w:val="1"/>
      <w:marLeft w:val="0"/>
      <w:marRight w:val="0"/>
      <w:marTop w:val="0"/>
      <w:marBottom w:val="0"/>
      <w:divBdr>
        <w:top w:val="none" w:sz="0" w:space="0" w:color="auto"/>
        <w:left w:val="none" w:sz="0" w:space="0" w:color="auto"/>
        <w:bottom w:val="none" w:sz="0" w:space="0" w:color="auto"/>
        <w:right w:val="none" w:sz="0" w:space="0" w:color="auto"/>
      </w:divBdr>
    </w:div>
    <w:div w:id="829560927">
      <w:bodyDiv w:val="1"/>
      <w:marLeft w:val="0"/>
      <w:marRight w:val="0"/>
      <w:marTop w:val="0"/>
      <w:marBottom w:val="0"/>
      <w:divBdr>
        <w:top w:val="none" w:sz="0" w:space="0" w:color="auto"/>
        <w:left w:val="none" w:sz="0" w:space="0" w:color="auto"/>
        <w:bottom w:val="none" w:sz="0" w:space="0" w:color="auto"/>
        <w:right w:val="none" w:sz="0" w:space="0" w:color="auto"/>
      </w:divBdr>
    </w:div>
    <w:div w:id="986319595">
      <w:bodyDiv w:val="1"/>
      <w:marLeft w:val="0"/>
      <w:marRight w:val="0"/>
      <w:marTop w:val="0"/>
      <w:marBottom w:val="0"/>
      <w:divBdr>
        <w:top w:val="none" w:sz="0" w:space="0" w:color="auto"/>
        <w:left w:val="none" w:sz="0" w:space="0" w:color="auto"/>
        <w:bottom w:val="none" w:sz="0" w:space="0" w:color="auto"/>
        <w:right w:val="none" w:sz="0" w:space="0" w:color="auto"/>
      </w:divBdr>
    </w:div>
    <w:div w:id="1768113308">
      <w:bodyDiv w:val="1"/>
      <w:marLeft w:val="0"/>
      <w:marRight w:val="0"/>
      <w:marTop w:val="0"/>
      <w:marBottom w:val="0"/>
      <w:divBdr>
        <w:top w:val="none" w:sz="0" w:space="0" w:color="auto"/>
        <w:left w:val="none" w:sz="0" w:space="0" w:color="auto"/>
        <w:bottom w:val="none" w:sz="0" w:space="0" w:color="auto"/>
        <w:right w:val="none" w:sz="0" w:space="0" w:color="auto"/>
      </w:divBdr>
    </w:div>
    <w:div w:id="178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520</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barbaraci</dc:creator>
  <cp:keywords/>
  <dc:description/>
  <cp:lastModifiedBy>carla barbaraci</cp:lastModifiedBy>
  <cp:revision>10</cp:revision>
  <dcterms:created xsi:type="dcterms:W3CDTF">2023-11-04T15:11:00Z</dcterms:created>
  <dcterms:modified xsi:type="dcterms:W3CDTF">2023-11-07T09:50:00Z</dcterms:modified>
</cp:coreProperties>
</file>